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EBA0" w14:textId="77777777" w:rsidR="003B4276" w:rsidRDefault="003B4276" w:rsidP="007E64A2">
      <w:pPr>
        <w:pStyle w:val="BodyText"/>
        <w:spacing w:after="0" w:line="240" w:lineRule="auto"/>
        <w:ind w:left="-142"/>
        <w:jc w:val="left"/>
        <w:sectPr w:rsidR="003B4276" w:rsidSect="0017688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2" w:right="1418" w:bottom="1418" w:left="1418" w:header="680" w:footer="624" w:gutter="0"/>
          <w:cols w:space="708"/>
          <w:titlePg/>
          <w:docGrid w:linePitch="326"/>
        </w:sectPr>
      </w:pPr>
    </w:p>
    <w:p w14:paraId="751260AB" w14:textId="77777777" w:rsidR="003D6C48" w:rsidRDefault="003D6C48" w:rsidP="003D6C48"/>
    <w:p w14:paraId="5D137096" w14:textId="77777777" w:rsidR="005A7925" w:rsidRDefault="0060454D" w:rsidP="005C7525">
      <w:pPr>
        <w:jc w:val="left"/>
        <w:rPr>
          <w:sz w:val="22"/>
        </w:rPr>
      </w:pPr>
      <w:r>
        <w:rPr>
          <w:noProof/>
          <w:lang w:eastAsia="et-EE"/>
        </w:rPr>
        <w:drawing>
          <wp:anchor distT="0" distB="0" distL="114300" distR="114300" simplePos="0" relativeHeight="251658752" behindDoc="0" locked="0" layoutInCell="1" allowOverlap="1" wp14:anchorId="3A67F1D4" wp14:editId="40B53479">
            <wp:simplePos x="0" y="0"/>
            <wp:positionH relativeFrom="margin">
              <wp:align>left</wp:align>
            </wp:positionH>
            <wp:positionV relativeFrom="paragraph">
              <wp:posOffset>20955</wp:posOffset>
            </wp:positionV>
            <wp:extent cx="893129" cy="811987"/>
            <wp:effectExtent l="0" t="0" r="2540" b="7620"/>
            <wp:wrapThrough wrapText="bothSides">
              <wp:wrapPolygon edited="0">
                <wp:start x="0" y="0"/>
                <wp:lineTo x="0" y="21296"/>
                <wp:lineTo x="21201" y="21296"/>
                <wp:lineTo x="212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3129" cy="811987"/>
                    </a:xfrm>
                    <a:prstGeom prst="rect">
                      <a:avLst/>
                    </a:prstGeom>
                  </pic:spPr>
                </pic:pic>
              </a:graphicData>
            </a:graphic>
            <wp14:sizeRelH relativeFrom="page">
              <wp14:pctWidth>0</wp14:pctWidth>
            </wp14:sizeRelH>
            <wp14:sizeRelV relativeFrom="page">
              <wp14:pctHeight>0</wp14:pctHeight>
            </wp14:sizeRelV>
          </wp:anchor>
        </w:drawing>
      </w:r>
      <w:r w:rsidRPr="009A2EEE">
        <w:rPr>
          <w:noProof/>
          <w:lang w:eastAsia="et-EE"/>
        </w:rPr>
        <mc:AlternateContent>
          <mc:Choice Requires="wps">
            <w:drawing>
              <wp:anchor distT="0" distB="0" distL="114300" distR="114300" simplePos="0" relativeHeight="251657728" behindDoc="0" locked="0" layoutInCell="0" allowOverlap="0" wp14:anchorId="02AAD35D" wp14:editId="6E7B3C3F">
                <wp:simplePos x="0" y="0"/>
                <wp:positionH relativeFrom="margin">
                  <wp:posOffset>3223895</wp:posOffset>
                </wp:positionH>
                <wp:positionV relativeFrom="page">
                  <wp:posOffset>972185</wp:posOffset>
                </wp:positionV>
                <wp:extent cx="2632710" cy="812165"/>
                <wp:effectExtent l="0" t="0" r="0" b="444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812165"/>
                        </a:xfrm>
                        <a:prstGeom prst="rect">
                          <a:avLst/>
                        </a:prstGeom>
                        <a:solidFill>
                          <a:srgbClr val="FFFFFF"/>
                        </a:solidFill>
                        <a:ln w="9525">
                          <a:noFill/>
                          <a:miter lim="800000"/>
                          <a:headEnd/>
                          <a:tailEnd/>
                        </a:ln>
                      </wps:spPr>
                      <wps:txbx>
                        <w:txbxContent>
                          <w:p w14:paraId="75BE82E5" w14:textId="60D43E4B" w:rsidR="005A223E" w:rsidRPr="00D02782" w:rsidRDefault="005A223E" w:rsidP="007B7ACA">
                            <w:pPr>
                              <w:pStyle w:val="kastitekst"/>
                              <w:jc w:val="left"/>
                              <w:rPr>
                                <w:sz w:val="18"/>
                                <w:szCs w:val="18"/>
                              </w:rPr>
                            </w:pPr>
                            <w:r w:rsidRPr="00D02782">
                              <w:rPr>
                                <w:sz w:val="18"/>
                                <w:szCs w:val="18"/>
                              </w:rPr>
                              <w:t xml:space="preserve">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AAD35D" id="_x0000_t202" coordsize="21600,21600" o:spt="202" path="m,l,21600r21600,l21600,xe">
                <v:stroke joinstyle="miter"/>
                <v:path gradientshapeok="t" o:connecttype="rect"/>
              </v:shapetype>
              <v:shape id="Text Box 5" o:spid="_x0000_s1026" type="#_x0000_t202" style="position:absolute;margin-left:253.85pt;margin-top:76.55pt;width:207.3pt;height:63.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" o:allowincell="f" o:allowoverlap="f" stroked="f">
                <v:textbox style="mso-fit-shape-to-text:t" inset="1mm,1mm,1mm,1mm">
                  <w:txbxContent>
                    <w:p w14:paraId="75BE82E5" w14:textId="60D43E4B" w:rsidR="005A223E" w:rsidRPr="00D02782" w:rsidRDefault="005A223E" w:rsidP="007B7ACA">
                      <w:pPr>
                        <w:pStyle w:val="kastitekst"/>
                        <w:jc w:val="left"/>
                        <w:rPr>
                          <w:sz w:val="18"/>
                          <w:szCs w:val="18"/>
                        </w:rPr>
                      </w:pPr>
                      <w:r w:rsidRPr="00D02782">
                        <w:rPr>
                          <w:sz w:val="18"/>
                          <w:szCs w:val="18"/>
                        </w:rPr>
                        <w:t xml:space="preserve"> </w:t>
                      </w:r>
                    </w:p>
                  </w:txbxContent>
                </v:textbox>
                <w10:wrap type="square" anchorx="margin" anchory="page"/>
              </v:shape>
            </w:pict>
          </mc:Fallback>
        </mc:AlternateContent>
      </w:r>
    </w:p>
    <w:p w14:paraId="4DD31D0F" w14:textId="77777777" w:rsidR="000D008B" w:rsidRDefault="000D008B" w:rsidP="005C7525">
      <w:pPr>
        <w:jc w:val="left"/>
        <w:rPr>
          <w:sz w:val="22"/>
        </w:rPr>
      </w:pPr>
    </w:p>
    <w:p w14:paraId="370E97E0" w14:textId="77777777" w:rsidR="000D008B" w:rsidRDefault="000D008B" w:rsidP="005C7525">
      <w:pPr>
        <w:jc w:val="left"/>
        <w:rPr>
          <w:sz w:val="22"/>
        </w:rPr>
      </w:pPr>
    </w:p>
    <w:p w14:paraId="45E53488" w14:textId="77777777" w:rsidR="000D008B" w:rsidRDefault="000D008B" w:rsidP="005C7525">
      <w:pPr>
        <w:jc w:val="left"/>
        <w:rPr>
          <w:sz w:val="22"/>
        </w:rPr>
      </w:pPr>
    </w:p>
    <w:p w14:paraId="051D1C2D" w14:textId="77777777" w:rsidR="000D008B" w:rsidRDefault="000D008B" w:rsidP="005C7525">
      <w:pPr>
        <w:jc w:val="left"/>
        <w:rPr>
          <w:sz w:val="22"/>
        </w:rPr>
      </w:pPr>
    </w:p>
    <w:p w14:paraId="48CEAADC" w14:textId="77777777" w:rsidR="000D008B" w:rsidRDefault="000D008B" w:rsidP="005C7525">
      <w:pPr>
        <w:jc w:val="left"/>
        <w:rPr>
          <w:sz w:val="22"/>
        </w:rPr>
      </w:pPr>
    </w:p>
    <w:p w14:paraId="3B7DA2D2" w14:textId="77777777" w:rsidR="00305DE1" w:rsidRDefault="00305DE1" w:rsidP="005C7525">
      <w:pPr>
        <w:jc w:val="left"/>
        <w:rPr>
          <w:sz w:val="22"/>
        </w:rPr>
      </w:pPr>
    </w:p>
    <w:p w14:paraId="5DDC3784" w14:textId="77777777" w:rsidR="00305DE1" w:rsidRDefault="00305DE1" w:rsidP="005C7525">
      <w:pPr>
        <w:jc w:val="left"/>
        <w:rPr>
          <w:sz w:val="22"/>
        </w:rPr>
      </w:pPr>
    </w:p>
    <w:p w14:paraId="644AAC00" w14:textId="77777777" w:rsidR="00D57137" w:rsidRDefault="00D57137">
      <w:pPr>
        <w:rPr>
          <w:szCs w:val="24"/>
        </w:rPr>
      </w:pPr>
    </w:p>
    <w:p w14:paraId="1FB56F2B" w14:textId="77777777" w:rsidR="0060454D" w:rsidRPr="00656F48" w:rsidRDefault="0060454D">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ED3814" w:rsidRPr="00656F48" w14:paraId="2E1E6529" w14:textId="77777777" w:rsidTr="00EF7493">
        <w:tc>
          <w:tcPr>
            <w:tcW w:w="5387" w:type="dxa"/>
          </w:tcPr>
          <w:p w14:paraId="65188174" w14:textId="77777777" w:rsidR="00ED3814" w:rsidRPr="00656F48" w:rsidRDefault="00ED3814">
            <w:pPr>
              <w:rPr>
                <w:rFonts w:ascii="Times New Roman" w:hAnsi="Times New Roman" w:cs="Times New Roman"/>
                <w:szCs w:val="24"/>
              </w:rPr>
            </w:pPr>
          </w:p>
        </w:tc>
        <w:tc>
          <w:tcPr>
            <w:tcW w:w="3675" w:type="dxa"/>
          </w:tcPr>
          <w:p w14:paraId="782B3F0A" w14:textId="3F7A18DA" w:rsidR="00ED3814" w:rsidRPr="00656F48" w:rsidRDefault="00ED3814" w:rsidP="00ED3814">
            <w:pPr>
              <w:tabs>
                <w:tab w:val="left" w:pos="4820"/>
              </w:tabs>
              <w:rPr>
                <w:rFonts w:ascii="Times New Roman" w:hAnsi="Times New Roman" w:cs="Times New Roman"/>
                <w:szCs w:val="24"/>
              </w:rPr>
            </w:pPr>
            <w:r w:rsidRPr="00656F48">
              <w:rPr>
                <w:rFonts w:ascii="Times New Roman" w:hAnsi="Times New Roman" w:cs="Times New Roman"/>
                <w:szCs w:val="24"/>
              </w:rPr>
              <w:t xml:space="preserve">  </w:t>
            </w:r>
            <w:r w:rsidRPr="00656F48">
              <w:rPr>
                <w:szCs w:val="24"/>
              </w:rPr>
              <w:fldChar w:fldCharType="begin"/>
            </w:r>
            <w:r w:rsidR="00DC4FB6">
              <w:rPr>
                <w:rFonts w:ascii="Times New Roman" w:hAnsi="Times New Roman" w:cs="Times New Roman"/>
                <w:szCs w:val="24"/>
              </w:rPr>
              <w:instrText xml:space="preserve"> delta_regDateTime  \* MERGEFORMAT</w:instrText>
            </w:r>
            <w:r w:rsidRPr="00656F48">
              <w:rPr>
                <w:szCs w:val="24"/>
              </w:rPr>
              <w:fldChar w:fldCharType="separate"/>
            </w:r>
            <w:r w:rsidR="00DC4FB6">
              <w:rPr>
                <w:rFonts w:ascii="Times New Roman" w:hAnsi="Times New Roman" w:cs="Times New Roman"/>
                <w:szCs w:val="24"/>
              </w:rPr>
              <w:t>22.11.2024</w:t>
            </w:r>
            <w:r w:rsidRPr="00656F48">
              <w:rPr>
                <w:szCs w:val="24"/>
              </w:rPr>
              <w:fldChar w:fldCharType="end"/>
            </w:r>
            <w:r w:rsidRPr="00656F48">
              <w:rPr>
                <w:rFonts w:ascii="Times New Roman" w:hAnsi="Times New Roman" w:cs="Times New Roman"/>
                <w:szCs w:val="24"/>
              </w:rPr>
              <w:t xml:space="preserve"> nr </w:t>
            </w:r>
            <w:r w:rsidRPr="00656F48">
              <w:rPr>
                <w:szCs w:val="24"/>
              </w:rPr>
              <w:fldChar w:fldCharType="begin"/>
            </w:r>
            <w:r w:rsidR="00DC4FB6">
              <w:rPr>
                <w:rFonts w:ascii="Times New Roman" w:hAnsi="Times New Roman" w:cs="Times New Roman"/>
                <w:szCs w:val="24"/>
              </w:rPr>
              <w:instrText xml:space="preserve"> delta_regNumber  \* MERGEFORMAT</w:instrText>
            </w:r>
            <w:r w:rsidRPr="00656F48">
              <w:rPr>
                <w:szCs w:val="24"/>
              </w:rPr>
              <w:fldChar w:fldCharType="separate"/>
            </w:r>
            <w:r w:rsidR="00DC4FB6">
              <w:rPr>
                <w:rFonts w:ascii="Times New Roman" w:hAnsi="Times New Roman" w:cs="Times New Roman"/>
                <w:szCs w:val="24"/>
              </w:rPr>
              <w:t>3-17/559</w:t>
            </w:r>
            <w:r w:rsidRPr="00656F48">
              <w:rPr>
                <w:szCs w:val="24"/>
              </w:rPr>
              <w:fldChar w:fldCharType="end"/>
            </w:r>
          </w:p>
        </w:tc>
      </w:tr>
    </w:tbl>
    <w:p w14:paraId="5F1B998E" w14:textId="77777777" w:rsidR="00D57137" w:rsidRPr="00656F48" w:rsidRDefault="00D57137">
      <w:pPr>
        <w:rPr>
          <w:szCs w:val="24"/>
        </w:rPr>
      </w:pPr>
    </w:p>
    <w:p w14:paraId="40DEB740" w14:textId="77777777" w:rsidR="00D57137" w:rsidRPr="00656F48" w:rsidRDefault="00D57137">
      <w:pPr>
        <w:rPr>
          <w:szCs w:val="24"/>
        </w:rPr>
      </w:pPr>
    </w:p>
    <w:p w14:paraId="3B28E3D9" w14:textId="77777777" w:rsidR="00D57137" w:rsidRPr="00656F48" w:rsidRDefault="00D57137">
      <w:pPr>
        <w:rPr>
          <w:szCs w:val="24"/>
        </w:rPr>
      </w:pPr>
    </w:p>
    <w:p w14:paraId="2AB9CE41" w14:textId="1D85E3FB" w:rsidR="005A7925" w:rsidRPr="004D15DF" w:rsidRDefault="005A7925">
      <w:pPr>
        <w:rPr>
          <w:b/>
          <w:bCs/>
          <w:szCs w:val="24"/>
        </w:rPr>
      </w:pPr>
      <w:r w:rsidRPr="004D15DF">
        <w:rPr>
          <w:b/>
          <w:bCs/>
          <w:szCs w:val="24"/>
        </w:rPr>
        <w:fldChar w:fldCharType="begin"/>
      </w:r>
      <w:r w:rsidR="00DC4FB6">
        <w:rPr>
          <w:b/>
          <w:bCs/>
          <w:szCs w:val="24"/>
        </w:rPr>
        <w:instrText xml:space="preserve"> delta_docName  \* MERGEFORMAT</w:instrText>
      </w:r>
      <w:r w:rsidRPr="004D15DF">
        <w:rPr>
          <w:b/>
          <w:bCs/>
          <w:szCs w:val="24"/>
        </w:rPr>
        <w:fldChar w:fldCharType="separate"/>
      </w:r>
      <w:r w:rsidR="00DC4FB6">
        <w:rPr>
          <w:b/>
          <w:bCs/>
          <w:szCs w:val="24"/>
        </w:rPr>
        <w:t xml:space="preserve">Pakkumuse esitamise ettepanek minikonkursil "Nutanix serverite tootetugi 2025" (287206) </w:t>
      </w:r>
      <w:r w:rsidRPr="004D15DF">
        <w:rPr>
          <w:b/>
          <w:bCs/>
          <w:szCs w:val="24"/>
        </w:rPr>
        <w:fldChar w:fldCharType="end"/>
      </w:r>
    </w:p>
    <w:p w14:paraId="352A65F6" w14:textId="77777777" w:rsidR="007B7ACA" w:rsidRPr="00656F48" w:rsidRDefault="007B7ACA"/>
    <w:p w14:paraId="369659BF" w14:textId="77777777" w:rsidR="009A2CB8" w:rsidRPr="00656F48" w:rsidRDefault="009A2CB8"/>
    <w:p w14:paraId="553CF8C8" w14:textId="77777777" w:rsidR="004D15DF" w:rsidRPr="0064077E" w:rsidRDefault="004D15DF" w:rsidP="004D15DF">
      <w:pPr>
        <w:rPr>
          <w:szCs w:val="24"/>
        </w:rPr>
      </w:pPr>
      <w:bookmarkStart w:id="1" w:name="_Toc347148596"/>
      <w:r w:rsidRPr="0064077E">
        <w:rPr>
          <w:szCs w:val="24"/>
        </w:rPr>
        <w:t>Siseministeeriumi infotehnoloogia- ja arenduskeskus (edaspidi SMIT või hankija) soovib riigihanke „</w:t>
      </w:r>
      <w:r w:rsidRPr="0064077E">
        <w:rPr>
          <w:szCs w:val="24"/>
          <w:shd w:val="clear" w:color="auto" w:fill="FFFFFF"/>
        </w:rPr>
        <w:t xml:space="preserve">Serverite ja hyper-converged lahenduste ostmine ja tootetugi“ (226780) osas I </w:t>
      </w:r>
      <w:r w:rsidRPr="0064077E">
        <w:rPr>
          <w:szCs w:val="24"/>
        </w:rPr>
        <w:t>sõlmitud raamlepingu</w:t>
      </w:r>
      <w:r w:rsidRPr="0064077E">
        <w:rPr>
          <w:szCs w:val="24"/>
          <w:shd w:val="clear" w:color="auto" w:fill="FFFFFF"/>
        </w:rPr>
        <w:t xml:space="preserve"> </w:t>
      </w:r>
      <w:r w:rsidRPr="0064077E">
        <w:rPr>
          <w:szCs w:val="24"/>
        </w:rPr>
        <w:t>alusel sõlmida hankelepingu raamlepingu partneriga ja teeb ettepaneku pakkumuse esitamiseks minikonkursi dokumentides toodud tingimustel.</w:t>
      </w:r>
    </w:p>
    <w:p w14:paraId="1F20E328" w14:textId="77777777" w:rsidR="004D15DF" w:rsidRPr="005B3170" w:rsidRDefault="004D15DF" w:rsidP="004D15DF">
      <w:pPr>
        <w:rPr>
          <w:szCs w:val="24"/>
        </w:rPr>
      </w:pPr>
    </w:p>
    <w:p w14:paraId="4BB7287B" w14:textId="77777777" w:rsidR="004D15DF" w:rsidRPr="005B3170" w:rsidRDefault="004D15DF" w:rsidP="004D15DF">
      <w:pPr>
        <w:pStyle w:val="ListParagraph"/>
        <w:numPr>
          <w:ilvl w:val="0"/>
          <w:numId w:val="6"/>
        </w:numPr>
        <w:spacing w:after="160" w:line="259" w:lineRule="auto"/>
        <w:ind w:left="0" w:firstLine="0"/>
        <w:contextualSpacing/>
        <w:jc w:val="both"/>
        <w:rPr>
          <w:rFonts w:ascii="Times New Roman" w:hAnsi="Times New Roman"/>
          <w:b/>
          <w:bCs/>
          <w:sz w:val="24"/>
        </w:rPr>
      </w:pPr>
      <w:r w:rsidRPr="005B3170">
        <w:rPr>
          <w:rFonts w:ascii="Times New Roman" w:hAnsi="Times New Roman"/>
          <w:b/>
          <w:bCs/>
          <w:sz w:val="24"/>
        </w:rPr>
        <w:t>Üldteave</w:t>
      </w:r>
    </w:p>
    <w:p w14:paraId="4C98E44E" w14:textId="77777777" w:rsidR="004D15DF" w:rsidRPr="005B3170"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5B3170">
        <w:rPr>
          <w:rFonts w:ascii="Times New Roman" w:hAnsi="Times New Roman"/>
          <w:sz w:val="24"/>
        </w:rPr>
        <w:t xml:space="preserve">Raamleping: reg nr </w:t>
      </w:r>
      <w:r w:rsidRPr="00A43B68">
        <w:rPr>
          <w:rFonts w:ascii="Times New Roman" w:hAnsi="Times New Roman"/>
          <w:sz w:val="24"/>
        </w:rPr>
        <w:t>3-2/1612</w:t>
      </w:r>
      <w:r w:rsidRPr="005B3170">
        <w:rPr>
          <w:rFonts w:ascii="Times New Roman" w:hAnsi="Times New Roman"/>
          <w:sz w:val="24"/>
        </w:rPr>
        <w:t>;</w:t>
      </w:r>
    </w:p>
    <w:p w14:paraId="207B5436" w14:textId="77777777" w:rsidR="004D15DF" w:rsidRPr="005B3170"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5B3170">
        <w:rPr>
          <w:rFonts w:ascii="Times New Roman" w:hAnsi="Times New Roman"/>
          <w:sz w:val="24"/>
        </w:rPr>
        <w:t xml:space="preserve">Hanke eest vastutav isik: </w:t>
      </w:r>
      <w:r>
        <w:rPr>
          <w:rFonts w:ascii="Times New Roman" w:hAnsi="Times New Roman"/>
          <w:sz w:val="24"/>
        </w:rPr>
        <w:t>Lagle Sokmann;</w:t>
      </w:r>
    </w:p>
    <w:p w14:paraId="365A6739" w14:textId="77777777" w:rsidR="004D15DF" w:rsidRPr="003A518B"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5B3170">
        <w:rPr>
          <w:rFonts w:ascii="Times New Roman" w:hAnsi="Times New Roman"/>
          <w:sz w:val="24"/>
        </w:rPr>
        <w:t xml:space="preserve">Hanke liik: minikonkurss raamlepingu alusel, </w:t>
      </w:r>
      <w:r>
        <w:rPr>
          <w:rFonts w:ascii="Times New Roman" w:hAnsi="Times New Roman"/>
          <w:sz w:val="24"/>
        </w:rPr>
        <w:t xml:space="preserve">minikonkursi </w:t>
      </w:r>
      <w:r w:rsidRPr="003A518B">
        <w:rPr>
          <w:rFonts w:ascii="Times New Roman" w:hAnsi="Times New Roman"/>
          <w:sz w:val="24"/>
        </w:rPr>
        <w:t>viitenumber</w:t>
      </w:r>
      <w:r>
        <w:rPr>
          <w:rStyle w:val="meta-list-item-bold"/>
          <w:rFonts w:ascii="Times New Roman" w:hAnsi="Times New Roman"/>
          <w:sz w:val="24"/>
        </w:rPr>
        <w:t xml:space="preserve"> 287206.</w:t>
      </w:r>
    </w:p>
    <w:p w14:paraId="4536B3BF" w14:textId="77777777" w:rsidR="004D15DF" w:rsidRPr="003A518B"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3A518B">
        <w:rPr>
          <w:rFonts w:ascii="Times New Roman" w:hAnsi="Times New Roman"/>
          <w:sz w:val="24"/>
        </w:rPr>
        <w:t xml:space="preserve">Eeldatav maksumus: </w:t>
      </w:r>
      <w:r>
        <w:rPr>
          <w:rFonts w:ascii="Times New Roman" w:hAnsi="Times New Roman"/>
          <w:sz w:val="24"/>
        </w:rPr>
        <w:t xml:space="preserve">30 000 </w:t>
      </w:r>
      <w:r w:rsidRPr="003A518B">
        <w:rPr>
          <w:rFonts w:ascii="Times New Roman" w:hAnsi="Times New Roman"/>
          <w:sz w:val="24"/>
        </w:rPr>
        <w:t>eurot km-ta.</w:t>
      </w:r>
    </w:p>
    <w:p w14:paraId="5E9A8F82" w14:textId="77777777" w:rsidR="004D15DF" w:rsidRPr="00A43B68"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A43B68">
        <w:rPr>
          <w:rFonts w:ascii="Times New Roman" w:hAnsi="Times New Roman"/>
          <w:sz w:val="24"/>
        </w:rPr>
        <w:t>Menetluse teostamise viis: e-menetlus eRHR vahendusel.</w:t>
      </w:r>
    </w:p>
    <w:p w14:paraId="6A80685B" w14:textId="77777777" w:rsidR="004D15DF" w:rsidRPr="00A43B68"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A43B68">
        <w:rPr>
          <w:rFonts w:ascii="Times New Roman" w:hAnsi="Times New Roman"/>
          <w:sz w:val="24"/>
        </w:rPr>
        <w:t>Hankelepingu kestus: lepinguliste kohuste täitumiseni</w:t>
      </w:r>
      <w:r>
        <w:rPr>
          <w:rFonts w:ascii="Times New Roman" w:hAnsi="Times New Roman"/>
          <w:sz w:val="24"/>
        </w:rPr>
        <w:t>.</w:t>
      </w:r>
    </w:p>
    <w:p w14:paraId="5B306E1B" w14:textId="77777777" w:rsidR="004D15DF" w:rsidRPr="00A43B68"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A43B68">
        <w:rPr>
          <w:rFonts w:ascii="Times New Roman" w:hAnsi="Times New Roman"/>
          <w:sz w:val="24"/>
        </w:rPr>
        <w:t>Finantseerimisallikas: riigieelarv</w:t>
      </w:r>
      <w:r>
        <w:rPr>
          <w:rFonts w:ascii="Times New Roman" w:hAnsi="Times New Roman"/>
          <w:sz w:val="24"/>
        </w:rPr>
        <w:t>.</w:t>
      </w:r>
      <w:r w:rsidRPr="00A43B68">
        <w:rPr>
          <w:rFonts w:ascii="Times New Roman" w:hAnsi="Times New Roman"/>
          <w:sz w:val="24"/>
        </w:rPr>
        <w:t>;</w:t>
      </w:r>
    </w:p>
    <w:p w14:paraId="6BFCF618" w14:textId="77777777" w:rsidR="004D15DF" w:rsidRPr="00A43B68"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A43B68">
        <w:rPr>
          <w:rFonts w:ascii="Times New Roman" w:hAnsi="Times New Roman"/>
          <w:sz w:val="24"/>
        </w:rPr>
        <w:t>Pakkumuse esitamise tähtaeg: Pakkumuse esitamise täpne kuupäev ja kellaaeg sätestatakse hankemenetluse eest vastutava isiku poolt eRHR-s. Hanke eest vastutaval isikul on õigus muuta pakkumuste esitamise tähtaega ning teha alusdokumentides menetluse käigus avastatud vajalikke mittesisulisi muudatusi ning parandusi.</w:t>
      </w:r>
      <w:r w:rsidRPr="00A43B68">
        <w:t xml:space="preserve"> </w:t>
      </w:r>
      <w:r w:rsidRPr="00A43B68">
        <w:rPr>
          <w:rFonts w:ascii="Times New Roman" w:hAnsi="Times New Roman"/>
          <w:sz w:val="24"/>
          <w:u w:val="single"/>
        </w:rPr>
        <w:t>Pakkujal on õigus vajadusel teha ettepanek pakkumuse esitamise tähtaja pikendamiseks.</w:t>
      </w:r>
    </w:p>
    <w:p w14:paraId="6279F353" w14:textId="77777777" w:rsidR="004D15DF" w:rsidRPr="00A43B68"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A43B68">
        <w:rPr>
          <w:rFonts w:ascii="Times New Roman" w:hAnsi="Times New Roman"/>
          <w:sz w:val="24"/>
        </w:rPr>
        <w:t xml:space="preserve">Pakkumuse jõusoleku tähtaeg: vähemalt 3 kuud alates pakkumuse esitamise tähtpäevast. </w:t>
      </w:r>
    </w:p>
    <w:p w14:paraId="7B7893AF" w14:textId="77777777" w:rsidR="004D15DF" w:rsidRPr="00A43B68" w:rsidRDefault="004D15DF" w:rsidP="004D15DF">
      <w:pPr>
        <w:pStyle w:val="ListParagraph"/>
        <w:numPr>
          <w:ilvl w:val="1"/>
          <w:numId w:val="6"/>
        </w:numPr>
        <w:spacing w:after="160" w:line="259" w:lineRule="auto"/>
        <w:ind w:left="0" w:firstLine="0"/>
        <w:contextualSpacing/>
        <w:jc w:val="both"/>
        <w:rPr>
          <w:rFonts w:ascii="Times New Roman" w:hAnsi="Times New Roman"/>
          <w:sz w:val="24"/>
        </w:rPr>
      </w:pPr>
      <w:r w:rsidRPr="00A43B68">
        <w:rPr>
          <w:rFonts w:ascii="Times New Roman" w:hAnsi="Times New Roman"/>
          <w:sz w:val="24"/>
        </w:rPr>
        <w:t>Hankija ootus huvitatud isikutele on, et pakkujad teavitaks hankijat aegsasti RHR kaudu riigihanke alusdokumentides avastatud vigade, ebatäpsuste ja ebaselguste parandamiseks ja/või teeks ettepaneku pakkujate hinnangul riigihanke eseme hankimiseks seatud ebaproportsionaalsete või põhjendamatute piirangute leevendamiseks.</w:t>
      </w:r>
      <w:bookmarkStart w:id="2" w:name="_Hlk125474126"/>
    </w:p>
    <w:p w14:paraId="5BC6AD4A" w14:textId="77777777" w:rsidR="004D15DF" w:rsidRPr="00A43B68" w:rsidRDefault="004D15DF" w:rsidP="004D15DF">
      <w:pPr>
        <w:pStyle w:val="ListParagraph"/>
        <w:numPr>
          <w:ilvl w:val="1"/>
          <w:numId w:val="6"/>
        </w:numPr>
        <w:spacing w:after="160" w:line="259" w:lineRule="auto"/>
        <w:ind w:left="0" w:firstLine="0"/>
        <w:contextualSpacing/>
        <w:jc w:val="both"/>
        <w:rPr>
          <w:rFonts w:ascii="Times New Roman" w:hAnsi="Times New Roman"/>
          <w:sz w:val="24"/>
          <w:lang w:eastAsia="et-EE"/>
        </w:rPr>
      </w:pPr>
      <w:r w:rsidRPr="00A43B68">
        <w:rPr>
          <w:rFonts w:ascii="Times New Roman" w:hAnsi="Times New Roman"/>
          <w:sz w:val="24"/>
        </w:rPr>
        <w:t>RHR üldandmetesse/hanketeate lahtris "lepingu täitmise tähtaeg" määratud kuupäev tähendab lepingu kehtivust, mitte üksnes täitja kohustuste täitmise tähtaega ning lähtub seetõttu nii täitja kui hankija/maksja kohustuste nõuetekohase täitmise tähtaegadest, sh hõlmatud on ka hankija arve tasumiseks kuluv aeg. Pakkujal tuleb lepingu sõlmimise korral lähtuda enda kohustuste tähtaegsel täitmisel lepingu projektis või tehnilises kirjelduses määratud täitmise/lepingu eseme tarnimise tähtajast.</w:t>
      </w:r>
      <w:bookmarkEnd w:id="2"/>
      <w:r w:rsidRPr="00A43B68">
        <w:rPr>
          <w:rFonts w:ascii="Times New Roman" w:hAnsi="Times New Roman"/>
          <w:sz w:val="24"/>
        </w:rPr>
        <w:t xml:space="preserve"> </w:t>
      </w:r>
    </w:p>
    <w:p w14:paraId="6FF2CE84" w14:textId="77777777" w:rsidR="004D15DF" w:rsidRPr="00A43B68" w:rsidRDefault="004D15DF" w:rsidP="004D15DF">
      <w:pPr>
        <w:pStyle w:val="ListParagraph"/>
        <w:numPr>
          <w:ilvl w:val="1"/>
          <w:numId w:val="6"/>
        </w:numPr>
        <w:spacing w:after="160" w:line="259" w:lineRule="auto"/>
        <w:ind w:left="0" w:firstLine="0"/>
        <w:contextualSpacing/>
        <w:jc w:val="both"/>
        <w:rPr>
          <w:rFonts w:ascii="Times New Roman" w:hAnsi="Times New Roman"/>
          <w:sz w:val="24"/>
          <w:lang w:eastAsia="et-EE"/>
        </w:rPr>
      </w:pPr>
      <w:r w:rsidRPr="00A43B68">
        <w:rPr>
          <w:rFonts w:ascii="Times New Roman" w:hAnsi="Times New Roman"/>
          <w:sz w:val="24"/>
        </w:rPr>
        <w:lastRenderedPageBreak/>
        <w:t xml:space="preserve">Täitja esitab hankelepingu täitmise alustamise ajaks iga oma alltöövõtja nime, registrikoodi, kontaktandmed, teabe nende seaduslike esindajate kohta ning alltöövõtulepingu nimetuse, kuupäeva, numbri ja summa. Samad andmed esitab täitja iga hankelepingu täitmisel lisanduva alltöövõtja kohta. </w:t>
      </w:r>
    </w:p>
    <w:p w14:paraId="50E9879A" w14:textId="77777777" w:rsidR="004D15DF" w:rsidRPr="0087225B" w:rsidRDefault="004D15DF" w:rsidP="004D15DF">
      <w:pPr>
        <w:keepNext/>
        <w:tabs>
          <w:tab w:val="left" w:pos="0"/>
        </w:tabs>
        <w:ind w:right="-828"/>
        <w:outlineLvl w:val="1"/>
        <w:rPr>
          <w:rFonts w:eastAsia="SimSun"/>
          <w:b/>
          <w:bCs/>
          <w:szCs w:val="24"/>
        </w:rPr>
      </w:pPr>
    </w:p>
    <w:bookmarkEnd w:id="1"/>
    <w:p w14:paraId="2A03FD48" w14:textId="77777777" w:rsidR="004D15DF" w:rsidRPr="0087225B" w:rsidRDefault="004D15DF" w:rsidP="004D15DF">
      <w:pPr>
        <w:pStyle w:val="ListParagraph"/>
        <w:numPr>
          <w:ilvl w:val="0"/>
          <w:numId w:val="6"/>
        </w:numPr>
        <w:spacing w:line="276" w:lineRule="auto"/>
        <w:ind w:left="0" w:firstLine="0"/>
        <w:rPr>
          <w:rFonts w:ascii="Times New Roman" w:hAnsi="Times New Roman"/>
          <w:sz w:val="24"/>
          <w:lang w:eastAsia="et-EE"/>
        </w:rPr>
      </w:pPr>
      <w:r w:rsidRPr="0087225B">
        <w:rPr>
          <w:rFonts w:ascii="Times New Roman" w:hAnsi="Times New Roman"/>
          <w:b/>
          <w:bCs/>
          <w:sz w:val="24"/>
        </w:rPr>
        <w:t>Minikonkursi dokumendid</w:t>
      </w:r>
      <w:r w:rsidRPr="0087225B">
        <w:rPr>
          <w:rFonts w:ascii="Times New Roman" w:hAnsi="Times New Roman"/>
          <w:sz w:val="24"/>
          <w:lang w:eastAsia="et-EE"/>
        </w:rPr>
        <w:t xml:space="preserve"> koosnevad käesolevast dokumendist ning järgmistest lisadest:</w:t>
      </w:r>
    </w:p>
    <w:p w14:paraId="761880EE" w14:textId="77777777" w:rsidR="004D15DF" w:rsidRPr="0087225B" w:rsidRDefault="004D15DF" w:rsidP="004D15DF">
      <w:pPr>
        <w:numPr>
          <w:ilvl w:val="1"/>
          <w:numId w:val="6"/>
        </w:numPr>
        <w:spacing w:line="276" w:lineRule="auto"/>
        <w:ind w:left="0" w:firstLine="0"/>
        <w:rPr>
          <w:szCs w:val="24"/>
          <w:lang w:eastAsia="et-EE"/>
        </w:rPr>
      </w:pPr>
      <w:r w:rsidRPr="0087225B">
        <w:rPr>
          <w:szCs w:val="24"/>
          <w:lang w:eastAsia="et-EE"/>
        </w:rPr>
        <w:t>Lisa 1</w:t>
      </w:r>
      <w:r>
        <w:rPr>
          <w:szCs w:val="24"/>
          <w:lang w:eastAsia="et-EE"/>
        </w:rPr>
        <w:t>-</w:t>
      </w:r>
      <w:r w:rsidRPr="0087225B">
        <w:rPr>
          <w:szCs w:val="24"/>
          <w:lang w:eastAsia="et-EE"/>
        </w:rPr>
        <w:t xml:space="preserve"> Hankelepingu projekt;</w:t>
      </w:r>
    </w:p>
    <w:p w14:paraId="25171922" w14:textId="77777777" w:rsidR="004D15DF" w:rsidRDefault="004D15DF" w:rsidP="004D15DF">
      <w:pPr>
        <w:numPr>
          <w:ilvl w:val="1"/>
          <w:numId w:val="6"/>
        </w:numPr>
        <w:spacing w:line="276" w:lineRule="auto"/>
        <w:ind w:left="0" w:firstLine="0"/>
        <w:rPr>
          <w:szCs w:val="24"/>
          <w:lang w:eastAsia="et-EE"/>
        </w:rPr>
      </w:pPr>
      <w:r w:rsidRPr="0087225B">
        <w:rPr>
          <w:szCs w:val="24"/>
          <w:lang w:eastAsia="et-EE"/>
        </w:rPr>
        <w:t xml:space="preserve">Lisa </w:t>
      </w:r>
      <w:r>
        <w:rPr>
          <w:szCs w:val="24"/>
          <w:lang w:eastAsia="et-EE"/>
        </w:rPr>
        <w:t>2- tehniline kirjeldus;</w:t>
      </w:r>
      <w:r w:rsidRPr="0087225B">
        <w:rPr>
          <w:szCs w:val="24"/>
          <w:lang w:eastAsia="et-EE"/>
        </w:rPr>
        <w:t xml:space="preserve"> </w:t>
      </w:r>
    </w:p>
    <w:p w14:paraId="022BEBC5" w14:textId="77777777" w:rsidR="004D15DF" w:rsidRPr="0087225B" w:rsidRDefault="004D15DF" w:rsidP="004D15DF">
      <w:pPr>
        <w:numPr>
          <w:ilvl w:val="1"/>
          <w:numId w:val="6"/>
        </w:numPr>
        <w:spacing w:line="276" w:lineRule="auto"/>
        <w:ind w:left="0" w:firstLine="0"/>
        <w:rPr>
          <w:szCs w:val="24"/>
          <w:lang w:eastAsia="et-EE"/>
        </w:rPr>
      </w:pPr>
      <w:r>
        <w:rPr>
          <w:szCs w:val="24"/>
          <w:lang w:eastAsia="et-EE"/>
        </w:rPr>
        <w:t xml:space="preserve">Lisa 3 – </w:t>
      </w:r>
      <w:r w:rsidRPr="0087225B">
        <w:rPr>
          <w:szCs w:val="24"/>
          <w:lang w:eastAsia="et-EE"/>
        </w:rPr>
        <w:t>Vastavustingimused</w:t>
      </w:r>
      <w:r>
        <w:rPr>
          <w:szCs w:val="24"/>
          <w:lang w:eastAsia="et-EE"/>
        </w:rPr>
        <w:t xml:space="preserve"> (eRHR vorm)</w:t>
      </w:r>
      <w:r w:rsidRPr="0087225B">
        <w:rPr>
          <w:szCs w:val="24"/>
          <w:lang w:eastAsia="et-EE"/>
        </w:rPr>
        <w:t>;</w:t>
      </w:r>
    </w:p>
    <w:p w14:paraId="6A00A3CE" w14:textId="77777777" w:rsidR="004D15DF" w:rsidRPr="0087225B" w:rsidRDefault="004D15DF" w:rsidP="004D15DF">
      <w:pPr>
        <w:numPr>
          <w:ilvl w:val="1"/>
          <w:numId w:val="6"/>
        </w:numPr>
        <w:spacing w:line="276" w:lineRule="auto"/>
        <w:ind w:left="0" w:firstLine="0"/>
        <w:rPr>
          <w:szCs w:val="24"/>
          <w:lang w:eastAsia="et-EE"/>
        </w:rPr>
      </w:pPr>
      <w:r w:rsidRPr="0087225B">
        <w:rPr>
          <w:szCs w:val="24"/>
          <w:lang w:eastAsia="et-EE"/>
        </w:rPr>
        <w:t xml:space="preserve">Lisa </w:t>
      </w:r>
      <w:r>
        <w:rPr>
          <w:szCs w:val="24"/>
          <w:lang w:eastAsia="et-EE"/>
        </w:rPr>
        <w:t>4-</w:t>
      </w:r>
      <w:r w:rsidRPr="0087225B">
        <w:rPr>
          <w:szCs w:val="24"/>
          <w:lang w:eastAsia="et-EE"/>
        </w:rPr>
        <w:t xml:space="preserve"> </w:t>
      </w:r>
      <w:r w:rsidRPr="0087225B">
        <w:rPr>
          <w:szCs w:val="24"/>
        </w:rPr>
        <w:t>Hindamiskriteeriumid ja hinnatavad näitajad (eRHR vorm);</w:t>
      </w:r>
    </w:p>
    <w:p w14:paraId="3598FB5E" w14:textId="77777777" w:rsidR="004D15DF" w:rsidRPr="006B4CCD" w:rsidRDefault="004D15DF" w:rsidP="004D15DF">
      <w:pPr>
        <w:numPr>
          <w:ilvl w:val="1"/>
          <w:numId w:val="6"/>
        </w:numPr>
        <w:spacing w:line="276" w:lineRule="auto"/>
        <w:ind w:left="0" w:firstLine="0"/>
        <w:rPr>
          <w:szCs w:val="24"/>
          <w:lang w:eastAsia="et-EE"/>
        </w:rPr>
      </w:pPr>
      <w:r w:rsidRPr="0087225B">
        <w:rPr>
          <w:szCs w:val="24"/>
        </w:rPr>
        <w:t xml:space="preserve">Lisa </w:t>
      </w:r>
      <w:r>
        <w:rPr>
          <w:szCs w:val="24"/>
        </w:rPr>
        <w:t>5-</w:t>
      </w:r>
      <w:r w:rsidRPr="0087225B">
        <w:rPr>
          <w:szCs w:val="24"/>
        </w:rPr>
        <w:t xml:space="preserve"> Kõrvaldamise alused (eRHR vorm);</w:t>
      </w:r>
    </w:p>
    <w:p w14:paraId="48F01459" w14:textId="77777777" w:rsidR="004D15DF" w:rsidRPr="00423887" w:rsidRDefault="004D15DF" w:rsidP="004D15DF">
      <w:pPr>
        <w:pStyle w:val="ListParagraph"/>
        <w:numPr>
          <w:ilvl w:val="0"/>
          <w:numId w:val="5"/>
        </w:numPr>
        <w:jc w:val="both"/>
        <w:rPr>
          <w:rFonts w:ascii="Times New Roman" w:hAnsi="Times New Roman"/>
          <w:b/>
          <w:vanish/>
          <w:sz w:val="24"/>
        </w:rPr>
      </w:pPr>
    </w:p>
    <w:p w14:paraId="3D4973F2" w14:textId="77777777" w:rsidR="004D15DF" w:rsidRPr="00423887" w:rsidRDefault="004D15DF" w:rsidP="004D15DF">
      <w:pPr>
        <w:pStyle w:val="ListParagraph"/>
        <w:numPr>
          <w:ilvl w:val="0"/>
          <w:numId w:val="5"/>
        </w:numPr>
        <w:jc w:val="both"/>
        <w:rPr>
          <w:rFonts w:ascii="Times New Roman" w:hAnsi="Times New Roman"/>
          <w:b/>
          <w:vanish/>
          <w:sz w:val="24"/>
        </w:rPr>
      </w:pPr>
    </w:p>
    <w:p w14:paraId="45F1EE0B" w14:textId="77777777" w:rsidR="004D15DF" w:rsidRPr="00423887" w:rsidRDefault="004D15DF" w:rsidP="004D15DF">
      <w:pPr>
        <w:pStyle w:val="ListParagraph"/>
        <w:ind w:left="360"/>
        <w:jc w:val="both"/>
        <w:rPr>
          <w:rFonts w:ascii="Times New Roman" w:hAnsi="Times New Roman"/>
          <w:b/>
          <w:sz w:val="24"/>
        </w:rPr>
      </w:pPr>
    </w:p>
    <w:p w14:paraId="6D4601BF" w14:textId="77777777" w:rsidR="004D15DF" w:rsidRPr="006B5CAB" w:rsidRDefault="004D15DF" w:rsidP="004D15DF">
      <w:pPr>
        <w:numPr>
          <w:ilvl w:val="0"/>
          <w:numId w:val="6"/>
        </w:numPr>
        <w:spacing w:line="276" w:lineRule="auto"/>
        <w:ind w:left="567" w:hanging="567"/>
        <w:rPr>
          <w:szCs w:val="24"/>
        </w:rPr>
      </w:pPr>
      <w:r w:rsidRPr="006B5CAB">
        <w:rPr>
          <w:b/>
          <w:szCs w:val="24"/>
        </w:rPr>
        <w:t>Minikonkursil osalemise tingimused</w:t>
      </w:r>
    </w:p>
    <w:p w14:paraId="31BDEFDA" w14:textId="77777777" w:rsidR="004D15DF" w:rsidRDefault="004D15DF" w:rsidP="004D15DF">
      <w:pPr>
        <w:numPr>
          <w:ilvl w:val="1"/>
          <w:numId w:val="6"/>
        </w:numPr>
        <w:spacing w:line="276" w:lineRule="auto"/>
        <w:ind w:left="567" w:hanging="567"/>
        <w:rPr>
          <w:szCs w:val="24"/>
        </w:rPr>
      </w:pPr>
      <w:r w:rsidRPr="006B5CAB">
        <w:rPr>
          <w:szCs w:val="24"/>
        </w:rPr>
        <w:t>Minikonkursi dokumendid moodustavad ühtse terviku. Dokumendid tehakse täitjatele tasuta kättesaadavaks eRHR-i keskkonna vahendusel.</w:t>
      </w:r>
    </w:p>
    <w:p w14:paraId="5EA75496" w14:textId="77777777" w:rsidR="004D15DF" w:rsidRDefault="004D15DF" w:rsidP="004D15DF">
      <w:pPr>
        <w:numPr>
          <w:ilvl w:val="1"/>
          <w:numId w:val="6"/>
        </w:numPr>
        <w:spacing w:line="276" w:lineRule="auto"/>
        <w:ind w:left="567" w:hanging="567"/>
        <w:rPr>
          <w:szCs w:val="24"/>
        </w:rPr>
      </w:pPr>
      <w:r w:rsidRPr="00D779A1">
        <w:rPr>
          <w:szCs w:val="24"/>
        </w:rPr>
        <w:t xml:space="preserve">Minikonkursi dokumentide sisu kohta saab </w:t>
      </w:r>
      <w:r>
        <w:rPr>
          <w:szCs w:val="24"/>
        </w:rPr>
        <w:t>hankija</w:t>
      </w:r>
      <w:r w:rsidRPr="00D779A1">
        <w:rPr>
          <w:szCs w:val="24"/>
        </w:rPr>
        <w:t xml:space="preserve">lt selgitusi küsida kirjalikul pöördumisel läbi eRHR-i keskkonna teabevahetuse töölehe. </w:t>
      </w:r>
      <w:r>
        <w:rPr>
          <w:szCs w:val="24"/>
        </w:rPr>
        <w:t>Hankija</w:t>
      </w:r>
      <w:r w:rsidRPr="00D779A1">
        <w:rPr>
          <w:szCs w:val="24"/>
        </w:rPr>
        <w:t xml:space="preserve"> vastab esitatud küsimustele esimesel võimalusel, võttes arvesse RHS § 46 lg 1 ja konkreetse minikonkursi pakkumuste esitamise tähtaega.</w:t>
      </w:r>
    </w:p>
    <w:p w14:paraId="5464E8E4" w14:textId="77777777" w:rsidR="004D15DF" w:rsidRPr="00D779A1" w:rsidRDefault="004D15DF" w:rsidP="004D15DF">
      <w:pPr>
        <w:spacing w:line="276" w:lineRule="auto"/>
        <w:ind w:left="567"/>
        <w:rPr>
          <w:szCs w:val="24"/>
        </w:rPr>
      </w:pPr>
    </w:p>
    <w:p w14:paraId="3E4749F8" w14:textId="77777777" w:rsidR="004D15DF" w:rsidRPr="006B5CAB" w:rsidRDefault="004D15DF" w:rsidP="004D15DF">
      <w:pPr>
        <w:numPr>
          <w:ilvl w:val="0"/>
          <w:numId w:val="6"/>
        </w:numPr>
        <w:spacing w:line="276" w:lineRule="auto"/>
        <w:ind w:left="567" w:hanging="567"/>
        <w:rPr>
          <w:szCs w:val="24"/>
        </w:rPr>
      </w:pPr>
      <w:r w:rsidRPr="006B5CAB">
        <w:rPr>
          <w:b/>
          <w:bCs/>
          <w:szCs w:val="24"/>
        </w:rPr>
        <w:t xml:space="preserve">Pakkumuse vormistamine, esitamine ja muutmine </w:t>
      </w:r>
    </w:p>
    <w:p w14:paraId="4FED9273" w14:textId="77777777" w:rsidR="004D15DF" w:rsidRDefault="004D15DF" w:rsidP="004D15DF">
      <w:pPr>
        <w:numPr>
          <w:ilvl w:val="1"/>
          <w:numId w:val="6"/>
        </w:numPr>
        <w:tabs>
          <w:tab w:val="left" w:pos="851"/>
        </w:tabs>
        <w:spacing w:line="276" w:lineRule="auto"/>
        <w:ind w:left="567" w:hanging="567"/>
        <w:rPr>
          <w:szCs w:val="24"/>
        </w:rPr>
      </w:pPr>
      <w:r w:rsidRPr="00A43B68">
        <w:rPr>
          <w:szCs w:val="24"/>
          <w:lang w:eastAsia="et-EE"/>
        </w:rPr>
        <w:t>Pakkumus</w:t>
      </w:r>
      <w:r w:rsidRPr="006B5CAB">
        <w:rPr>
          <w:szCs w:val="24"/>
          <w:lang w:eastAsia="et-EE"/>
        </w:rPr>
        <w:t xml:space="preserve"> tuleb esitada elektrooniliselt eRHR-i kaudu aadressil </w:t>
      </w:r>
      <w:hyperlink r:id="rId14" w:history="1">
        <w:r w:rsidRPr="006B5CAB">
          <w:rPr>
            <w:rStyle w:val="Hyperlink"/>
            <w:szCs w:val="24"/>
            <w:lang w:eastAsia="et-EE"/>
          </w:rPr>
          <w:t>https://riigihanked.riik.ee</w:t>
        </w:r>
      </w:hyperlink>
      <w:r w:rsidRPr="006B5CAB">
        <w:rPr>
          <w:szCs w:val="24"/>
          <w:lang w:eastAsia="et-EE"/>
        </w:rPr>
        <w:t>.</w:t>
      </w:r>
    </w:p>
    <w:p w14:paraId="68181A12" w14:textId="77777777" w:rsidR="004D15DF" w:rsidRPr="00A43B68" w:rsidRDefault="004D15DF" w:rsidP="004D15DF">
      <w:pPr>
        <w:numPr>
          <w:ilvl w:val="1"/>
          <w:numId w:val="6"/>
        </w:numPr>
        <w:tabs>
          <w:tab w:val="left" w:pos="851"/>
        </w:tabs>
        <w:spacing w:line="276" w:lineRule="auto"/>
        <w:ind w:left="567" w:hanging="567"/>
        <w:rPr>
          <w:szCs w:val="24"/>
        </w:rPr>
      </w:pPr>
      <w:r w:rsidRPr="00A43B68">
        <w:rPr>
          <w:szCs w:val="24"/>
          <w:lang w:eastAsia="et-EE"/>
        </w:rPr>
        <w:t>Dokumendid vormistada PDF-vormingus või mõnes muus üldlevinud vormingus.</w:t>
      </w:r>
    </w:p>
    <w:p w14:paraId="7FAD0BA3" w14:textId="77777777" w:rsidR="004D15DF" w:rsidRDefault="004D15DF" w:rsidP="004D15DF">
      <w:pPr>
        <w:numPr>
          <w:ilvl w:val="1"/>
          <w:numId w:val="6"/>
        </w:numPr>
        <w:tabs>
          <w:tab w:val="left" w:pos="851"/>
        </w:tabs>
        <w:spacing w:line="276" w:lineRule="auto"/>
        <w:ind w:left="567" w:hanging="567"/>
        <w:rPr>
          <w:szCs w:val="24"/>
        </w:rPr>
      </w:pPr>
      <w:r w:rsidRPr="00A43B68">
        <w:rPr>
          <w:szCs w:val="24"/>
          <w:lang w:eastAsia="et-EE"/>
        </w:rPr>
        <w:t>Kui esitatavate dokumentide koosseisus on kolmanda osapoole poolt kirjalikult allkirjastatud dokumente, esitada dokument skaneeritud kujul ning originaaldokument esitada ainult juhul, kui hankijal on tekkinud kahtlus dokumendi osas.</w:t>
      </w:r>
    </w:p>
    <w:p w14:paraId="2CA46A05" w14:textId="77777777" w:rsidR="004D15DF" w:rsidRPr="00CD4E39" w:rsidRDefault="004D15DF" w:rsidP="004D15DF">
      <w:pPr>
        <w:numPr>
          <w:ilvl w:val="1"/>
          <w:numId w:val="6"/>
        </w:numPr>
        <w:tabs>
          <w:tab w:val="left" w:pos="851"/>
        </w:tabs>
        <w:spacing w:line="276" w:lineRule="auto"/>
        <w:ind w:left="567" w:hanging="567"/>
        <w:rPr>
          <w:szCs w:val="24"/>
        </w:rPr>
      </w:pPr>
      <w:r w:rsidRPr="000B15E3">
        <w:t>Iga viidet, mille hankija teeb alusdokumentides mõnele RHS-i § 88 lõikes 2 nimetatud alusele (standardile, tehnilisele tunnustusele, tehnilisele kontrollisüsteemile, märgisele vms), tuleb lugeda selliselt, et see on täiendatud märkega „või sellega samaväärne“. Iga viidet, mille hankija teeb alusdokumentides ostuallikale, protsessile, kaubamärgile, patendile, tüübile, päritolule, märgisele või tootmisviisile, tuleb lugeda selliselt, et see on täiendatud märkega „või sellega samaväärne“. Samaväärsus tähendab täpselt samu kasutusomadusi ja funktsionaalsusi. Samaväärsuse korral tuleb pakkujal samaväärsust tõendada.</w:t>
      </w:r>
    </w:p>
    <w:p w14:paraId="3A841AC2" w14:textId="77777777" w:rsidR="004D15DF" w:rsidRPr="006726D3" w:rsidRDefault="004D15DF" w:rsidP="004D15DF">
      <w:pPr>
        <w:numPr>
          <w:ilvl w:val="1"/>
          <w:numId w:val="6"/>
        </w:numPr>
        <w:tabs>
          <w:tab w:val="left" w:pos="851"/>
        </w:tabs>
        <w:spacing w:line="276" w:lineRule="auto"/>
        <w:ind w:left="567" w:hanging="567"/>
        <w:rPr>
          <w:szCs w:val="24"/>
        </w:rPr>
      </w:pPr>
      <w:r w:rsidRPr="00A43B68">
        <w:rPr>
          <w:szCs w:val="24"/>
        </w:rPr>
        <w:t xml:space="preserve">Samaväärsuse pakkumisel peab pakutav lahendus ühtima hankija olemasolevate süsteemidega ning toote ja/või teenuse hind peab sisaldama kõiki migreerimisega seotud lisatasusid. Pakkumus peab vastama esitatud nõuetele või olema sellega vähemalt samaväärne, kuid ühilduma olemasoleva lahendusega. Samaväärsust tõendavad andmed </w:t>
      </w:r>
      <w:r w:rsidRPr="006726D3">
        <w:rPr>
          <w:szCs w:val="24"/>
        </w:rPr>
        <w:t>ja dokumendid esitab pakkuja koos pakkumusega. Pakkumuse samaväärsust kontrollivad ja hindavad hankija vastavate erialateadmistega töötajad.</w:t>
      </w:r>
    </w:p>
    <w:p w14:paraId="79034F40" w14:textId="77777777" w:rsidR="004D15DF" w:rsidRPr="006726D3" w:rsidRDefault="004D15DF" w:rsidP="004D15DF">
      <w:pPr>
        <w:numPr>
          <w:ilvl w:val="1"/>
          <w:numId w:val="6"/>
        </w:numPr>
        <w:tabs>
          <w:tab w:val="left" w:pos="851"/>
        </w:tabs>
        <w:spacing w:line="276" w:lineRule="auto"/>
        <w:ind w:left="567" w:hanging="567"/>
        <w:rPr>
          <w:szCs w:val="24"/>
        </w:rPr>
      </w:pPr>
      <w:r w:rsidRPr="006726D3">
        <w:rPr>
          <w:rStyle w:val="cf01"/>
          <w:rFonts w:ascii="Times New Roman" w:hAnsi="Times New Roman" w:cs="Times New Roman"/>
          <w:sz w:val="24"/>
          <w:szCs w:val="24"/>
        </w:rPr>
        <w:lastRenderedPageBreak/>
        <w:t>Hankija ei käsitle pakkuja poolt võimalikke pakkumuse koosseisus esitatavaid litsentsilepingu (EULA,MSA) tingimusi /tootetoe tingimusi tingimusliku pakkumusena.</w:t>
      </w:r>
    </w:p>
    <w:p w14:paraId="0F045518" w14:textId="77777777" w:rsidR="004D15DF" w:rsidRPr="00881E6C" w:rsidRDefault="004D15DF" w:rsidP="004D15DF">
      <w:pPr>
        <w:rPr>
          <w:szCs w:val="24"/>
        </w:rPr>
      </w:pPr>
    </w:p>
    <w:p w14:paraId="34414386" w14:textId="77777777" w:rsidR="004D15DF" w:rsidRPr="006B5CAB" w:rsidRDefault="004D15DF" w:rsidP="004D15DF">
      <w:pPr>
        <w:numPr>
          <w:ilvl w:val="0"/>
          <w:numId w:val="6"/>
        </w:numPr>
        <w:tabs>
          <w:tab w:val="left" w:pos="567"/>
        </w:tabs>
        <w:spacing w:line="276" w:lineRule="auto"/>
        <w:ind w:left="567" w:hanging="567"/>
        <w:rPr>
          <w:szCs w:val="24"/>
        </w:rPr>
      </w:pPr>
      <w:r w:rsidRPr="006B5CAB">
        <w:rPr>
          <w:b/>
          <w:szCs w:val="24"/>
        </w:rPr>
        <w:t>Pakkumuste vastavuse kontrollimine</w:t>
      </w:r>
    </w:p>
    <w:p w14:paraId="46C8424C" w14:textId="77777777" w:rsidR="004D15DF" w:rsidRDefault="004D15DF" w:rsidP="004D15DF">
      <w:pPr>
        <w:pStyle w:val="Laad2"/>
        <w:numPr>
          <w:ilvl w:val="1"/>
          <w:numId w:val="6"/>
        </w:numPr>
        <w:ind w:left="567" w:hanging="567"/>
      </w:pPr>
      <w:r>
        <w:t xml:space="preserve"> </w:t>
      </w:r>
      <w:r w:rsidRPr="006B5CAB">
        <w:t xml:space="preserve">Pakkumus </w:t>
      </w:r>
      <w:r>
        <w:t>tunnistatakse vastavaks, kui see vastab kõikidele</w:t>
      </w:r>
      <w:r w:rsidRPr="006B5CAB">
        <w:t xml:space="preserve"> minikonkursi tingimustele ning selles ei esine sisulisi kõrvalekaldumisi esitatud tingimustest. </w:t>
      </w:r>
    </w:p>
    <w:p w14:paraId="0BA4368E" w14:textId="77777777" w:rsidR="004D15DF" w:rsidRPr="00EA7DF7" w:rsidRDefault="004D15DF" w:rsidP="004D15DF">
      <w:pPr>
        <w:pStyle w:val="Laad2"/>
        <w:numPr>
          <w:ilvl w:val="1"/>
          <w:numId w:val="6"/>
        </w:numPr>
        <w:ind w:left="567" w:hanging="567"/>
      </w:pPr>
      <w:r>
        <w:t xml:space="preserve"> </w:t>
      </w:r>
      <w:r w:rsidRPr="008933E6">
        <w:rPr>
          <w:shd w:val="clear" w:color="auto" w:fill="FFFFFF"/>
        </w:rPr>
        <w:t>Pakkumuses esitatud andmed peavad olema tõesed, esitatud viisil ja piisava detailsusega, mis võimaldavad hankijal kontrollida nende vastavust riigihanke alusdokumentides toodud tingimustele.</w:t>
      </w:r>
    </w:p>
    <w:p w14:paraId="35CD8A01" w14:textId="77777777" w:rsidR="004D15DF" w:rsidRDefault="004D15DF" w:rsidP="004D15DF">
      <w:pPr>
        <w:numPr>
          <w:ilvl w:val="1"/>
          <w:numId w:val="6"/>
        </w:numPr>
        <w:tabs>
          <w:tab w:val="left" w:pos="567"/>
        </w:tabs>
        <w:spacing w:line="276" w:lineRule="auto"/>
        <w:ind w:left="567" w:hanging="567"/>
        <w:rPr>
          <w:szCs w:val="24"/>
        </w:rPr>
      </w:pPr>
      <w:r>
        <w:rPr>
          <w:szCs w:val="24"/>
        </w:rPr>
        <w:t>Hankija</w:t>
      </w:r>
      <w:r w:rsidRPr="00D779A1">
        <w:rPr>
          <w:szCs w:val="24"/>
        </w:rPr>
        <w:t xml:space="preserve"> nõudel peab täitja pakkumuses esitatud teavet selgitama, piiritlema või täpsustama.</w:t>
      </w:r>
    </w:p>
    <w:p w14:paraId="2934067B" w14:textId="77777777" w:rsidR="004D15DF" w:rsidRDefault="004D15DF" w:rsidP="004D15DF">
      <w:pPr>
        <w:numPr>
          <w:ilvl w:val="1"/>
          <w:numId w:val="6"/>
        </w:numPr>
        <w:tabs>
          <w:tab w:val="left" w:pos="567"/>
        </w:tabs>
        <w:spacing w:line="276" w:lineRule="auto"/>
        <w:ind w:left="567" w:hanging="567"/>
        <w:rPr>
          <w:szCs w:val="24"/>
        </w:rPr>
      </w:pPr>
      <w:r>
        <w:rPr>
          <w:szCs w:val="24"/>
        </w:rPr>
        <w:t>Hankija</w:t>
      </w:r>
      <w:r w:rsidRPr="00D779A1">
        <w:rPr>
          <w:szCs w:val="24"/>
        </w:rPr>
        <w:t>l on õigus lükata pakkumus tagasi, kui see ei vasta minikonkursis esitatud tingimustele ning juhul, kui täitja on esitanud lisatingimusi, mis ei ole kooskõlas minikonkursi tingimustega.</w:t>
      </w:r>
    </w:p>
    <w:p w14:paraId="4BE9666A" w14:textId="77777777" w:rsidR="004D15DF" w:rsidRPr="004D75D6" w:rsidRDefault="004D15DF" w:rsidP="004D15DF">
      <w:pPr>
        <w:numPr>
          <w:ilvl w:val="1"/>
          <w:numId w:val="6"/>
        </w:numPr>
        <w:tabs>
          <w:tab w:val="left" w:pos="567"/>
        </w:tabs>
        <w:spacing w:line="276" w:lineRule="auto"/>
        <w:ind w:left="567" w:hanging="567"/>
        <w:rPr>
          <w:szCs w:val="24"/>
        </w:rPr>
      </w:pPr>
      <w:r>
        <w:t>Hankija lükkab pakkumuse tagasi, kui hankelepingu sõlmimine selle pakkumuse alusel rikuks rahvusvahelist sanktsiooni rahvusvahelise sanktsiooni seaduse tähenduses (RSansS).</w:t>
      </w:r>
    </w:p>
    <w:p w14:paraId="540AC028" w14:textId="77777777" w:rsidR="004D15DF" w:rsidRPr="00D779A1" w:rsidRDefault="004D15DF" w:rsidP="004D15DF">
      <w:pPr>
        <w:tabs>
          <w:tab w:val="left" w:pos="567"/>
        </w:tabs>
        <w:spacing w:line="276" w:lineRule="auto"/>
        <w:ind w:left="567"/>
        <w:rPr>
          <w:szCs w:val="24"/>
        </w:rPr>
      </w:pPr>
    </w:p>
    <w:p w14:paraId="3B7A9B98" w14:textId="77777777" w:rsidR="004D15DF" w:rsidRPr="006B5CAB" w:rsidRDefault="004D15DF" w:rsidP="004D15DF">
      <w:pPr>
        <w:numPr>
          <w:ilvl w:val="0"/>
          <w:numId w:val="6"/>
        </w:numPr>
        <w:tabs>
          <w:tab w:val="left" w:pos="709"/>
        </w:tabs>
        <w:spacing w:line="276" w:lineRule="auto"/>
        <w:ind w:left="567" w:hanging="567"/>
        <w:rPr>
          <w:szCs w:val="24"/>
        </w:rPr>
      </w:pPr>
      <w:r w:rsidRPr="006B5CAB">
        <w:rPr>
          <w:b/>
          <w:szCs w:val="24"/>
        </w:rPr>
        <w:t xml:space="preserve">Pakkumuste hindamine, </w:t>
      </w:r>
      <w:r>
        <w:rPr>
          <w:b/>
          <w:szCs w:val="24"/>
        </w:rPr>
        <w:t>edukaks tunnistamine</w:t>
      </w:r>
      <w:r w:rsidRPr="006B5CAB">
        <w:rPr>
          <w:b/>
          <w:szCs w:val="24"/>
        </w:rPr>
        <w:t xml:space="preserve"> </w:t>
      </w:r>
      <w:r>
        <w:rPr>
          <w:b/>
          <w:szCs w:val="24"/>
        </w:rPr>
        <w:t xml:space="preserve">või </w:t>
      </w:r>
      <w:r w:rsidRPr="006B5CAB">
        <w:rPr>
          <w:b/>
          <w:szCs w:val="24"/>
        </w:rPr>
        <w:t xml:space="preserve"> tagasi lükkamine</w:t>
      </w:r>
    </w:p>
    <w:p w14:paraId="69AFE09F" w14:textId="77777777" w:rsidR="004D15DF" w:rsidRPr="006B5CAB" w:rsidRDefault="004D15DF" w:rsidP="004D15DF">
      <w:pPr>
        <w:numPr>
          <w:ilvl w:val="1"/>
          <w:numId w:val="6"/>
        </w:numPr>
        <w:tabs>
          <w:tab w:val="left" w:pos="709"/>
        </w:tabs>
        <w:spacing w:line="276" w:lineRule="auto"/>
        <w:ind w:left="567" w:hanging="567"/>
        <w:rPr>
          <w:szCs w:val="24"/>
        </w:rPr>
      </w:pPr>
      <w:r>
        <w:rPr>
          <w:szCs w:val="24"/>
        </w:rPr>
        <w:t>Hankija</w:t>
      </w:r>
      <w:r w:rsidRPr="006B5CAB">
        <w:rPr>
          <w:szCs w:val="24"/>
        </w:rPr>
        <w:t>l on õigus igal ajal enne lepingu sõlmimist tagasi lükata kõik pakkumused, kui:</w:t>
      </w:r>
    </w:p>
    <w:p w14:paraId="1B491BC4" w14:textId="77777777" w:rsidR="004D15DF" w:rsidRDefault="004D15DF" w:rsidP="004D15DF">
      <w:pPr>
        <w:numPr>
          <w:ilvl w:val="2"/>
          <w:numId w:val="6"/>
        </w:numPr>
        <w:tabs>
          <w:tab w:val="left" w:pos="1276"/>
        </w:tabs>
        <w:spacing w:line="276" w:lineRule="auto"/>
        <w:ind w:left="1134" w:hanging="567"/>
        <w:rPr>
          <w:szCs w:val="24"/>
        </w:rPr>
      </w:pPr>
      <w:r w:rsidRPr="006B5CAB">
        <w:rPr>
          <w:szCs w:val="24"/>
        </w:rPr>
        <w:t>ükski laekunud pakkumus ei vasta minikonkursi dokumentides esitatud tingimustele;</w:t>
      </w:r>
    </w:p>
    <w:p w14:paraId="5EBAE62C" w14:textId="77777777" w:rsidR="004D15DF" w:rsidRDefault="004D15DF" w:rsidP="004D15DF">
      <w:pPr>
        <w:numPr>
          <w:ilvl w:val="2"/>
          <w:numId w:val="6"/>
        </w:numPr>
        <w:tabs>
          <w:tab w:val="left" w:pos="1276"/>
        </w:tabs>
        <w:spacing w:line="276" w:lineRule="auto"/>
        <w:ind w:left="1134" w:hanging="567"/>
        <w:rPr>
          <w:szCs w:val="24"/>
        </w:rPr>
      </w:pPr>
      <w:r w:rsidRPr="00D779A1">
        <w:rPr>
          <w:szCs w:val="24"/>
        </w:rPr>
        <w:t xml:space="preserve">kõikide pakkumuste maksumused on hanke eeldatava maksumusega võrreldes ebamõistlikult kallid ja ületavad </w:t>
      </w:r>
      <w:r>
        <w:rPr>
          <w:szCs w:val="24"/>
        </w:rPr>
        <w:t>hankija</w:t>
      </w:r>
      <w:r w:rsidRPr="00D779A1">
        <w:rPr>
          <w:szCs w:val="24"/>
        </w:rPr>
        <w:t xml:space="preserve"> rahalisi võimalusi</w:t>
      </w:r>
      <w:r>
        <w:rPr>
          <w:szCs w:val="24"/>
        </w:rPr>
        <w:t>;</w:t>
      </w:r>
    </w:p>
    <w:p w14:paraId="431D1A20" w14:textId="77777777" w:rsidR="004D15DF" w:rsidRDefault="004D15DF" w:rsidP="004D15DF">
      <w:pPr>
        <w:numPr>
          <w:ilvl w:val="2"/>
          <w:numId w:val="6"/>
        </w:numPr>
        <w:tabs>
          <w:tab w:val="left" w:pos="1276"/>
        </w:tabs>
        <w:spacing w:line="276" w:lineRule="auto"/>
        <w:ind w:left="1134" w:hanging="567"/>
        <w:rPr>
          <w:szCs w:val="24"/>
        </w:rPr>
      </w:pPr>
      <w:r>
        <w:rPr>
          <w:szCs w:val="24"/>
        </w:rPr>
        <w:t>hankija projektile otsustatakse rahastust mitte anda.</w:t>
      </w:r>
    </w:p>
    <w:p w14:paraId="4E8005EE" w14:textId="77777777" w:rsidR="004D15DF" w:rsidRPr="004D75D6" w:rsidRDefault="004D15DF" w:rsidP="004D15DF">
      <w:pPr>
        <w:pStyle w:val="ListParagraph"/>
        <w:numPr>
          <w:ilvl w:val="1"/>
          <w:numId w:val="6"/>
        </w:numPr>
        <w:tabs>
          <w:tab w:val="left" w:pos="1276"/>
        </w:tabs>
        <w:spacing w:line="276" w:lineRule="auto"/>
        <w:ind w:left="567" w:hanging="567"/>
        <w:jc w:val="both"/>
        <w:rPr>
          <w:rFonts w:ascii="Times New Roman" w:hAnsi="Times New Roman"/>
          <w:sz w:val="24"/>
        </w:rPr>
      </w:pPr>
      <w:r>
        <w:t xml:space="preserve"> </w:t>
      </w:r>
      <w:r>
        <w:rPr>
          <w:rFonts w:ascii="Times New Roman" w:hAnsi="Times New Roman"/>
          <w:sz w:val="24"/>
        </w:rPr>
        <w:t>Hankija</w:t>
      </w:r>
      <w:r w:rsidRPr="004D75D6">
        <w:rPr>
          <w:rFonts w:ascii="Times New Roman" w:hAnsi="Times New Roman"/>
          <w:sz w:val="24"/>
        </w:rPr>
        <w:t xml:space="preserve">l on õigus </w:t>
      </w:r>
      <w:r>
        <w:rPr>
          <w:rFonts w:ascii="Times New Roman" w:hAnsi="Times New Roman"/>
          <w:sz w:val="24"/>
        </w:rPr>
        <w:t xml:space="preserve">minikonkurss kehtetuks tunnistada </w:t>
      </w:r>
      <w:r w:rsidRPr="004D75D6">
        <w:rPr>
          <w:rFonts w:ascii="Times New Roman" w:hAnsi="Times New Roman"/>
          <w:sz w:val="24"/>
        </w:rPr>
        <w:t xml:space="preserve">ettenägematutel ja </w:t>
      </w:r>
      <w:r>
        <w:rPr>
          <w:rFonts w:ascii="Times New Roman" w:hAnsi="Times New Roman"/>
          <w:sz w:val="24"/>
        </w:rPr>
        <w:t>hankija</w:t>
      </w:r>
      <w:r w:rsidRPr="004D75D6">
        <w:rPr>
          <w:rFonts w:ascii="Times New Roman" w:hAnsi="Times New Roman"/>
          <w:sz w:val="24"/>
        </w:rPr>
        <w:t xml:space="preserve">st </w:t>
      </w:r>
      <w:r>
        <w:rPr>
          <w:rFonts w:ascii="Times New Roman" w:hAnsi="Times New Roman"/>
          <w:sz w:val="24"/>
        </w:rPr>
        <w:t>olenevatel/</w:t>
      </w:r>
      <w:r w:rsidRPr="004D75D6">
        <w:rPr>
          <w:rFonts w:ascii="Times New Roman" w:hAnsi="Times New Roman"/>
          <w:sz w:val="24"/>
        </w:rPr>
        <w:t xml:space="preserve">mitteolenevatel põhjustel, kui minikonkursi toimumise ajal on </w:t>
      </w:r>
      <w:r>
        <w:rPr>
          <w:rFonts w:ascii="Times New Roman" w:hAnsi="Times New Roman"/>
          <w:sz w:val="24"/>
        </w:rPr>
        <w:t>hankija</w:t>
      </w:r>
      <w:r w:rsidRPr="004D75D6">
        <w:rPr>
          <w:rFonts w:ascii="Times New Roman" w:hAnsi="Times New Roman"/>
          <w:sz w:val="24"/>
        </w:rPr>
        <w:t xml:space="preserve">le saanud teatavaks uued asjaolud, mis välistavad või muudavad </w:t>
      </w:r>
      <w:r>
        <w:rPr>
          <w:rFonts w:ascii="Times New Roman" w:hAnsi="Times New Roman"/>
          <w:sz w:val="24"/>
        </w:rPr>
        <w:t>hankija</w:t>
      </w:r>
      <w:r w:rsidRPr="004D75D6">
        <w:rPr>
          <w:rFonts w:ascii="Times New Roman" w:hAnsi="Times New Roman"/>
          <w:sz w:val="24"/>
        </w:rPr>
        <w:t>le ebaotstarbekaks minikonkursi lõpule viimise esitatud tingimustel (sh muudatused seadusandluses).</w:t>
      </w:r>
    </w:p>
    <w:p w14:paraId="2070602B" w14:textId="77777777" w:rsidR="004D15DF" w:rsidRDefault="004D15DF" w:rsidP="004D15DF">
      <w:pPr>
        <w:pStyle w:val="ListParagraph"/>
        <w:numPr>
          <w:ilvl w:val="1"/>
          <w:numId w:val="6"/>
        </w:numPr>
        <w:spacing w:line="276" w:lineRule="auto"/>
        <w:ind w:left="567" w:hanging="567"/>
        <w:jc w:val="both"/>
        <w:rPr>
          <w:rFonts w:ascii="Times New Roman" w:hAnsi="Times New Roman"/>
          <w:sz w:val="24"/>
        </w:rPr>
      </w:pPr>
      <w:r>
        <w:rPr>
          <w:rFonts w:ascii="Times New Roman" w:hAnsi="Times New Roman"/>
          <w:sz w:val="24"/>
        </w:rPr>
        <w:t>Hankija</w:t>
      </w:r>
      <w:r w:rsidRPr="006B5CAB">
        <w:rPr>
          <w:rFonts w:ascii="Times New Roman" w:hAnsi="Times New Roman"/>
          <w:sz w:val="24"/>
        </w:rPr>
        <w:t xml:space="preserve"> hindab hindamiskriteeriumi </w:t>
      </w:r>
      <w:r>
        <w:rPr>
          <w:rFonts w:ascii="Times New Roman" w:hAnsi="Times New Roman"/>
          <w:sz w:val="24"/>
        </w:rPr>
        <w:t xml:space="preserve">majanduslikult soodsaim pakkumus </w:t>
      </w:r>
      <w:r w:rsidRPr="001A4827">
        <w:rPr>
          <w:rFonts w:ascii="Times New Roman" w:hAnsi="Times New Roman"/>
          <w:sz w:val="24"/>
        </w:rPr>
        <w:t>so madalaim hind alusel ning edukaks tunnistatakse pakkumus, mis vastab esitatud tin</w:t>
      </w:r>
      <w:r w:rsidRPr="00F10ACE">
        <w:rPr>
          <w:rFonts w:ascii="Times New Roman" w:hAnsi="Times New Roman"/>
          <w:sz w:val="24"/>
        </w:rPr>
        <w:t xml:space="preserve">gimustele, on madalaima hinnaga ja selle maksumus ei ületa </w:t>
      </w:r>
      <w:r>
        <w:rPr>
          <w:rFonts w:ascii="Times New Roman" w:hAnsi="Times New Roman"/>
          <w:sz w:val="24"/>
        </w:rPr>
        <w:t>hankija</w:t>
      </w:r>
      <w:r w:rsidRPr="00F10ACE">
        <w:rPr>
          <w:rFonts w:ascii="Times New Roman" w:hAnsi="Times New Roman"/>
          <w:sz w:val="24"/>
        </w:rPr>
        <w:t xml:space="preserve"> rahalisi võimalusi.</w:t>
      </w:r>
    </w:p>
    <w:p w14:paraId="122609E5" w14:textId="77777777" w:rsidR="004D15DF" w:rsidRPr="00F10ACE" w:rsidRDefault="004D15DF" w:rsidP="004D15DF">
      <w:pPr>
        <w:pStyle w:val="ListParagraph"/>
        <w:spacing w:line="276" w:lineRule="auto"/>
        <w:ind w:left="567"/>
        <w:jc w:val="both"/>
        <w:rPr>
          <w:rFonts w:ascii="Times New Roman" w:hAnsi="Times New Roman"/>
          <w:sz w:val="24"/>
        </w:rPr>
      </w:pPr>
    </w:p>
    <w:p w14:paraId="5856597A" w14:textId="77777777" w:rsidR="004D15DF" w:rsidRPr="00CE4930" w:rsidRDefault="004D15DF" w:rsidP="004D15DF">
      <w:pPr>
        <w:pStyle w:val="BodyText"/>
        <w:spacing w:before="120" w:after="0" w:line="240" w:lineRule="auto"/>
        <w:rPr>
          <w:b/>
          <w:bCs/>
        </w:rPr>
      </w:pPr>
      <w:r w:rsidRPr="00CE4930">
        <w:rPr>
          <w:b/>
          <w:bCs/>
        </w:rPr>
        <w:t xml:space="preserve">7. Kõrvaldamise aluste kontrollimine, eduka pakkuja äralangemine </w:t>
      </w:r>
    </w:p>
    <w:p w14:paraId="03B37B82" w14:textId="77777777" w:rsidR="004D15DF" w:rsidRDefault="004D15DF" w:rsidP="004D15DF">
      <w:pPr>
        <w:pStyle w:val="BodyText"/>
        <w:spacing w:after="0" w:line="240" w:lineRule="auto"/>
        <w:ind w:left="426" w:hanging="426"/>
      </w:pPr>
      <w:r>
        <w:t xml:space="preserve">7.1. Hankija kontrollib pakkujal, kellega ta kavatseb hankelepingu sõlmida, RHS § 95 lõikes 1 ja 4 sätestatud kõrvaldamise aluseid. Hankija ei sõlmi hankelepingut pakkujaga, kellel esineb mõni § 95 lõikes 1 nimetatud kõrvaldamise alus ning hankija võib kõrvaldada minikonkursilt pakkuja, kellel esineb mõni RHS § 95 lõikes 4 nimetatud kõrvaldamise alus. </w:t>
      </w:r>
    </w:p>
    <w:p w14:paraId="1795EA11" w14:textId="77777777" w:rsidR="004D15DF" w:rsidRDefault="004D15DF" w:rsidP="004D15DF">
      <w:pPr>
        <w:pStyle w:val="BodyText"/>
        <w:spacing w:after="0" w:line="240" w:lineRule="auto"/>
        <w:ind w:left="426" w:hanging="426"/>
        <w:rPr>
          <w:spacing w:val="0"/>
          <w:szCs w:val="24"/>
        </w:rPr>
      </w:pPr>
      <w:r>
        <w:t xml:space="preserve">7.2. </w:t>
      </w:r>
      <w:r w:rsidRPr="00486F5D">
        <w:rPr>
          <w:spacing w:val="0"/>
          <w:szCs w:val="24"/>
        </w:rPr>
        <w:t>Juhul, kui pakkujal esineb vähemalt üks RHS § 95 lõike 1 punktides 1–3 ja 5 ning lõike 4 punktides 2–11 nimetatud alustest, peab pakkuja esitama hankija nõudmisel RHS § 97 kohased ja põhjendatud heastamismeetmed iga sellise esinenud asjaolu kohta.</w:t>
      </w:r>
    </w:p>
    <w:p w14:paraId="6D415EB9" w14:textId="77777777" w:rsidR="004D15DF" w:rsidRPr="006B4CCD" w:rsidRDefault="004D15DF" w:rsidP="004D15DF">
      <w:pPr>
        <w:pStyle w:val="BodyText"/>
        <w:spacing w:after="0" w:line="240" w:lineRule="auto"/>
        <w:ind w:left="426" w:hanging="426"/>
        <w:rPr>
          <w:spacing w:val="0"/>
          <w:szCs w:val="24"/>
        </w:rPr>
      </w:pPr>
      <w:r>
        <w:rPr>
          <w:spacing w:val="0"/>
          <w:szCs w:val="24"/>
        </w:rPr>
        <w:t xml:space="preserve">7.3. </w:t>
      </w:r>
      <w:r w:rsidRPr="00486F5D">
        <w:t>Kui edukas pakkuja kõrvaldatakse minikonkursilt, minikonkursil edukas pakkuja võtab hankijast mitteolenevatel põhjustel oma pakkumuse</w:t>
      </w:r>
      <w:r>
        <w:t xml:space="preserve"> tagasi või ei allkirjasta hankelepingut, mida käsitletakse kui pakkumuse tagasi võtmist RHS § 119 tähenduses, hindab hankija kõiki ülejäänud minikonkursi pakkumusi uuesti ja tunnistab soodsaimaks pakkumuse, mis on pakkumustest majanduslikult soodsaim. Hankija ei ole kohustatud pakkumusi uuesti hindama </w:t>
      </w:r>
      <w:r>
        <w:lastRenderedPageBreak/>
        <w:t>ja võib tunnistada soodsaimaks esialgsel hindamisel edukuselt järgmiseks osutunud pakkumuse juhul, kui soodsaimaks tunnistatud pakkumuse äralangemine ei saa mõjutada ülejäänud pakkumuste omavahelist järjestust.</w:t>
      </w:r>
    </w:p>
    <w:p w14:paraId="4BAD3580" w14:textId="77777777" w:rsidR="00E63F9E" w:rsidRDefault="00E63F9E">
      <w:pPr>
        <w:pStyle w:val="BodyText"/>
        <w:spacing w:before="120" w:after="0" w:line="240" w:lineRule="auto"/>
      </w:pPr>
    </w:p>
    <w:p w14:paraId="762AE02A" w14:textId="77777777" w:rsidR="004D15DF" w:rsidRPr="00656F48" w:rsidRDefault="004D15DF">
      <w:pPr>
        <w:pStyle w:val="BodyText"/>
        <w:spacing w:before="120" w:after="0" w:line="240" w:lineRule="auto"/>
      </w:pPr>
    </w:p>
    <w:tbl>
      <w:tblPr>
        <w:tblW w:w="934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342"/>
      </w:tblGrid>
      <w:tr w:rsidR="003B4276" w:rsidRPr="00656F48" w14:paraId="4A12679C" w14:textId="77777777" w:rsidTr="000653E6">
        <w:trPr>
          <w:cantSplit/>
          <w:trHeight w:val="276"/>
          <w:jc w:val="right"/>
        </w:trPr>
        <w:tc>
          <w:tcPr>
            <w:tcW w:w="9342" w:type="dxa"/>
          </w:tcPr>
          <w:p w14:paraId="4EEA56C0" w14:textId="77777777" w:rsidR="003B4276" w:rsidRPr="00656F48" w:rsidRDefault="007402D2" w:rsidP="007E64A2">
            <w:pPr>
              <w:pStyle w:val="BodyText"/>
              <w:spacing w:after="0" w:line="240" w:lineRule="auto"/>
              <w:ind w:left="174"/>
              <w:jc w:val="left"/>
            </w:pPr>
            <w:r w:rsidRPr="00656F48">
              <w:t>Lugupidamisega</w:t>
            </w:r>
          </w:p>
          <w:p w14:paraId="0F0EE922" w14:textId="77777777" w:rsidR="005C7525" w:rsidRPr="00656F48" w:rsidRDefault="005C7525" w:rsidP="007E64A2">
            <w:pPr>
              <w:pStyle w:val="BodyText"/>
              <w:spacing w:after="0" w:line="240" w:lineRule="auto"/>
              <w:ind w:left="174"/>
              <w:jc w:val="left"/>
            </w:pPr>
          </w:p>
        </w:tc>
      </w:tr>
      <w:tr w:rsidR="003B4276" w:rsidRPr="00656F48" w14:paraId="09C086CE" w14:textId="77777777" w:rsidTr="000653E6">
        <w:trPr>
          <w:cantSplit/>
          <w:trHeight w:val="735"/>
          <w:jc w:val="right"/>
        </w:trPr>
        <w:tc>
          <w:tcPr>
            <w:tcW w:w="9342" w:type="dxa"/>
          </w:tcPr>
          <w:p w14:paraId="3F1DB698" w14:textId="77777777" w:rsidR="003B4276" w:rsidRPr="00656F48" w:rsidRDefault="00D0735B" w:rsidP="007E64A2">
            <w:pPr>
              <w:pStyle w:val="BodyText"/>
              <w:spacing w:before="60" w:after="60" w:line="240" w:lineRule="auto"/>
              <w:ind w:left="174"/>
              <w:jc w:val="left"/>
              <w:rPr>
                <w:i/>
                <w:iCs/>
                <w:color w:val="808080"/>
              </w:rPr>
            </w:pPr>
            <w:r w:rsidRPr="00656F48">
              <w:rPr>
                <w:i/>
                <w:iCs/>
                <w:color w:val="808080"/>
              </w:rPr>
              <w:t>(allkirjastatud digitaalselt)</w:t>
            </w:r>
          </w:p>
          <w:p w14:paraId="71F2C6C6" w14:textId="77777777" w:rsidR="008669EA" w:rsidRPr="00656F48" w:rsidRDefault="008669EA" w:rsidP="0011260E">
            <w:pPr>
              <w:pStyle w:val="BodyText"/>
              <w:spacing w:before="60" w:after="60" w:line="240" w:lineRule="auto"/>
              <w:jc w:val="left"/>
              <w:rPr>
                <w:color w:val="808080"/>
              </w:rPr>
            </w:pPr>
          </w:p>
        </w:tc>
      </w:tr>
      <w:tr w:rsidR="003B4276" w:rsidRPr="00656F48" w14:paraId="3642D3A6" w14:textId="77777777" w:rsidTr="000653E6">
        <w:trPr>
          <w:cantSplit/>
          <w:trHeight w:val="276"/>
          <w:jc w:val="right"/>
        </w:trPr>
        <w:tc>
          <w:tcPr>
            <w:tcW w:w="9342" w:type="dxa"/>
          </w:tcPr>
          <w:p w14:paraId="3A003D77" w14:textId="59C99BA2" w:rsidR="003B4276" w:rsidRPr="00656F48" w:rsidRDefault="00DC4FB6" w:rsidP="007E64A2">
            <w:pPr>
              <w:pStyle w:val="BodyText"/>
              <w:spacing w:after="0" w:line="240" w:lineRule="auto"/>
              <w:ind w:left="174"/>
              <w:jc w:val="left"/>
            </w:pPr>
            <w:fldSimple w:instr=" delta_signerName  \* MERGEFORMAT">
              <w:r>
                <w:t>Mait Vaiksaar</w:t>
              </w:r>
            </w:fldSimple>
          </w:p>
        </w:tc>
      </w:tr>
      <w:tr w:rsidR="00D0735B" w:rsidRPr="00656F48" w14:paraId="060450B4" w14:textId="77777777" w:rsidTr="000653E6">
        <w:trPr>
          <w:cantSplit/>
          <w:trHeight w:val="276"/>
          <w:jc w:val="right"/>
        </w:trPr>
        <w:tc>
          <w:tcPr>
            <w:tcW w:w="9342" w:type="dxa"/>
          </w:tcPr>
          <w:p w14:paraId="3CBE63D7" w14:textId="7634A9EF" w:rsidR="00D0735B" w:rsidRPr="00656F48" w:rsidRDefault="00DC4FB6" w:rsidP="007E64A2">
            <w:pPr>
              <w:pStyle w:val="BodyText"/>
              <w:spacing w:after="0" w:line="240" w:lineRule="auto"/>
              <w:ind w:left="316" w:hanging="174"/>
              <w:jc w:val="left"/>
            </w:pPr>
            <w:fldSimple w:instr=" delta_signerJobTitle  \* MERGEFORMAT">
              <w:r>
                <w:t>peadirektori asetäitja baasteenuste valdkonnas</w:t>
              </w:r>
            </w:fldSimple>
            <w:r w:rsidR="00CC48EC" w:rsidRPr="00656F48">
              <w:t xml:space="preserve"> </w:t>
            </w:r>
          </w:p>
          <w:p w14:paraId="6F091574" w14:textId="77777777" w:rsidR="000653E6" w:rsidRPr="00656F48" w:rsidRDefault="000653E6" w:rsidP="0011260E">
            <w:pPr>
              <w:pStyle w:val="BodyText"/>
              <w:spacing w:after="0" w:line="240" w:lineRule="auto"/>
              <w:jc w:val="left"/>
            </w:pPr>
          </w:p>
          <w:p w14:paraId="4A8907FD" w14:textId="77777777" w:rsidR="00E63F9E" w:rsidRPr="00656F48" w:rsidRDefault="00E63F9E" w:rsidP="0011260E">
            <w:pPr>
              <w:pStyle w:val="BodyText"/>
              <w:spacing w:after="0" w:line="240" w:lineRule="auto"/>
              <w:jc w:val="left"/>
            </w:pPr>
          </w:p>
        </w:tc>
      </w:tr>
    </w:tbl>
    <w:p w14:paraId="4268BC32" w14:textId="77777777" w:rsidR="00060108" w:rsidRPr="00656F48" w:rsidRDefault="00060108">
      <w:pPr>
        <w:pStyle w:val="BodyText"/>
        <w:spacing w:after="0" w:line="240" w:lineRule="auto"/>
        <w:jc w:val="left"/>
      </w:pPr>
    </w:p>
    <w:p w14:paraId="47088FEC" w14:textId="3F813C73" w:rsidR="004D1EAE" w:rsidRPr="00656F48" w:rsidRDefault="00060108" w:rsidP="004D1EAE">
      <w:pPr>
        <w:pStyle w:val="BodyText"/>
        <w:tabs>
          <w:tab w:val="left" w:pos="1800"/>
        </w:tabs>
        <w:spacing w:after="0" w:line="240" w:lineRule="auto"/>
        <w:jc w:val="left"/>
      </w:pPr>
      <w:r w:rsidRPr="00656F48">
        <w:t>Lisa: Loet</w:t>
      </w:r>
      <w:r w:rsidR="004D15DF">
        <w:t>letud punktis 2.</w:t>
      </w:r>
    </w:p>
    <w:p w14:paraId="2E862EB2" w14:textId="77777777" w:rsidR="008A3246" w:rsidRDefault="008A3246" w:rsidP="004D1EAE">
      <w:pPr>
        <w:pStyle w:val="BodyText"/>
        <w:tabs>
          <w:tab w:val="left" w:pos="1800"/>
        </w:tabs>
        <w:spacing w:after="0" w:line="240" w:lineRule="auto"/>
        <w:jc w:val="left"/>
      </w:pPr>
    </w:p>
    <w:p w14:paraId="6CBA33F5" w14:textId="77777777" w:rsidR="008A3246" w:rsidRDefault="008A3246" w:rsidP="004D1EAE">
      <w:pPr>
        <w:pStyle w:val="BodyText"/>
        <w:tabs>
          <w:tab w:val="left" w:pos="1800"/>
        </w:tabs>
        <w:spacing w:after="0" w:line="240" w:lineRule="auto"/>
        <w:jc w:val="left"/>
      </w:pPr>
    </w:p>
    <w:p w14:paraId="3E684147" w14:textId="77777777" w:rsidR="008A3246" w:rsidRDefault="008A3246" w:rsidP="004D1EAE">
      <w:pPr>
        <w:pStyle w:val="BodyText"/>
        <w:tabs>
          <w:tab w:val="left" w:pos="1800"/>
        </w:tabs>
        <w:spacing w:after="0" w:line="240" w:lineRule="auto"/>
        <w:jc w:val="left"/>
      </w:pPr>
    </w:p>
    <w:p w14:paraId="409D23A0" w14:textId="77777777" w:rsidR="008A3246" w:rsidRDefault="008A3246" w:rsidP="004D1EAE">
      <w:pPr>
        <w:pStyle w:val="BodyText"/>
        <w:tabs>
          <w:tab w:val="left" w:pos="1800"/>
        </w:tabs>
        <w:spacing w:after="0" w:line="240" w:lineRule="auto"/>
        <w:jc w:val="left"/>
      </w:pPr>
    </w:p>
    <w:p w14:paraId="676C7B01" w14:textId="77777777" w:rsidR="008A3246" w:rsidRDefault="008A3246" w:rsidP="004D1EAE">
      <w:pPr>
        <w:pStyle w:val="BodyText"/>
        <w:tabs>
          <w:tab w:val="left" w:pos="1800"/>
        </w:tabs>
        <w:spacing w:after="0" w:line="240" w:lineRule="auto"/>
        <w:jc w:val="left"/>
      </w:pPr>
    </w:p>
    <w:p w14:paraId="47B7B2F3" w14:textId="77777777" w:rsidR="008A3246" w:rsidRDefault="008A3246" w:rsidP="004D1EAE">
      <w:pPr>
        <w:pStyle w:val="BodyText"/>
        <w:tabs>
          <w:tab w:val="left" w:pos="1800"/>
        </w:tabs>
        <w:spacing w:after="0" w:line="240" w:lineRule="auto"/>
        <w:jc w:val="left"/>
      </w:pPr>
    </w:p>
    <w:p w14:paraId="6D58E918" w14:textId="3723D903" w:rsidR="004D1EAE" w:rsidRPr="004D15DF" w:rsidRDefault="004D15DF" w:rsidP="004D1EAE">
      <w:pPr>
        <w:pStyle w:val="BodyText"/>
        <w:tabs>
          <w:tab w:val="left" w:pos="1800"/>
        </w:tabs>
        <w:spacing w:after="0" w:line="240" w:lineRule="auto"/>
        <w:jc w:val="left"/>
        <w:rPr>
          <w:sz w:val="20"/>
        </w:rPr>
      </w:pPr>
      <w:r w:rsidRPr="004D15DF">
        <w:rPr>
          <w:sz w:val="20"/>
        </w:rPr>
        <w:fldChar w:fldCharType="begin"/>
      </w:r>
      <w:r w:rsidR="00DC4FB6">
        <w:rPr>
          <w:sz w:val="20"/>
        </w:rPr>
        <w:instrText xml:space="preserve"> delta_ownerName  \* MERGEFORMAT</w:instrText>
      </w:r>
      <w:r w:rsidRPr="004D15DF">
        <w:rPr>
          <w:sz w:val="20"/>
        </w:rPr>
        <w:fldChar w:fldCharType="separate"/>
      </w:r>
      <w:r w:rsidR="00DC4FB6">
        <w:rPr>
          <w:sz w:val="20"/>
        </w:rPr>
        <w:t>Lagle Sokmann</w:t>
      </w:r>
      <w:r w:rsidRPr="004D15DF">
        <w:rPr>
          <w:sz w:val="20"/>
        </w:rPr>
        <w:fldChar w:fldCharType="end"/>
      </w:r>
      <w:r w:rsidR="005C7525" w:rsidRPr="004D15DF">
        <w:rPr>
          <w:sz w:val="20"/>
        </w:rPr>
        <w:t xml:space="preserve">, </w:t>
      </w:r>
      <w:r w:rsidRPr="004D15DF">
        <w:rPr>
          <w:sz w:val="20"/>
        </w:rPr>
        <w:fldChar w:fldCharType="begin"/>
      </w:r>
      <w:r w:rsidR="00DC4FB6">
        <w:rPr>
          <w:sz w:val="20"/>
        </w:rPr>
        <w:instrText xml:space="preserve"> delta_ownerEmail  \* MERGEFORMAT</w:instrText>
      </w:r>
      <w:r w:rsidRPr="004D15DF">
        <w:rPr>
          <w:sz w:val="20"/>
        </w:rPr>
        <w:fldChar w:fldCharType="separate"/>
      </w:r>
      <w:r w:rsidR="00DC4FB6">
        <w:rPr>
          <w:sz w:val="20"/>
        </w:rPr>
        <w:t>lagle.sokmann@smit.ee</w:t>
      </w:r>
      <w:r w:rsidRPr="004D15DF">
        <w:rPr>
          <w:sz w:val="20"/>
        </w:rPr>
        <w:fldChar w:fldCharType="end"/>
      </w:r>
    </w:p>
    <w:p w14:paraId="06F32F3D" w14:textId="77777777" w:rsidR="004D1EAE" w:rsidRDefault="004D1EAE">
      <w:pPr>
        <w:pStyle w:val="BodyText"/>
        <w:tabs>
          <w:tab w:val="left" w:pos="1800"/>
        </w:tabs>
        <w:spacing w:after="0" w:line="240" w:lineRule="auto"/>
        <w:jc w:val="left"/>
      </w:pPr>
    </w:p>
    <w:sectPr w:rsidR="004D1EAE" w:rsidSect="0011260E">
      <w:headerReference w:type="default" r:id="rId15"/>
      <w:type w:val="continuous"/>
      <w:pgSz w:w="11906" w:h="16838" w:code="9"/>
      <w:pgMar w:top="1417" w:right="1417" w:bottom="1417" w:left="1417" w:header="454"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AD32" w14:textId="77777777" w:rsidR="007E4EEA" w:rsidRDefault="007E4EEA">
      <w:r>
        <w:separator/>
      </w:r>
    </w:p>
  </w:endnote>
  <w:endnote w:type="continuationSeparator" w:id="0">
    <w:p w14:paraId="1AB45229" w14:textId="77777777" w:rsidR="007E4EEA" w:rsidRDefault="007E4EEA">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4046" w14:textId="77777777" w:rsidR="005A223E" w:rsidRDefault="00C4390F">
    <w:pPr>
      <w:pStyle w:val="Foot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21026E49" w14:textId="77777777" w:rsidR="005A223E" w:rsidRDefault="005A22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0F3E" w14:textId="77777777" w:rsidR="00AE1F88" w:rsidRDefault="00AE1F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18"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2268"/>
      <w:gridCol w:w="2268"/>
    </w:tblGrid>
    <w:tr w:rsidR="00B63F9D" w:rsidRPr="00107296" w14:paraId="44E24A92" w14:textId="77777777" w:rsidTr="005860F7">
      <w:trPr>
        <w:trHeight w:val="87"/>
      </w:trPr>
      <w:tc>
        <w:tcPr>
          <w:tcW w:w="5382" w:type="dxa"/>
        </w:tcPr>
        <w:p w14:paraId="14B870C0" w14:textId="77777777" w:rsidR="00B63F9D" w:rsidRPr="00107296" w:rsidRDefault="00B63F9D" w:rsidP="00AE1F88">
          <w:pPr>
            <w:autoSpaceDE w:val="0"/>
            <w:autoSpaceDN w:val="0"/>
            <w:adjustRightInd w:val="0"/>
            <w:ind w:left="718"/>
            <w:rPr>
              <w:rFonts w:ascii="Times New Roman" w:hAnsi="Times New Roman" w:cs="Times New Roman"/>
              <w:color w:val="009CDE"/>
              <w:sz w:val="20"/>
              <w:szCs w:val="24"/>
            </w:rPr>
          </w:pPr>
          <w:r w:rsidRPr="00107296">
            <w:rPr>
              <w:rFonts w:ascii="Times New Roman" w:hAnsi="Times New Roman" w:cs="Times New Roman"/>
              <w:color w:val="009CDE"/>
              <w:sz w:val="20"/>
              <w:szCs w:val="24"/>
            </w:rPr>
            <w:t>Siseministeeriumi infotehnoloogia- ja arenduskeskus</w:t>
          </w:r>
        </w:p>
        <w:p w14:paraId="02CA40E8" w14:textId="77777777" w:rsidR="00B63F9D" w:rsidRPr="00107296" w:rsidRDefault="002E7BEB" w:rsidP="00AE1F88">
          <w:pPr>
            <w:pStyle w:val="Footer"/>
            <w:ind w:left="718"/>
            <w:rPr>
              <w:rFonts w:ascii="Times New Roman" w:hAnsi="Times New Roman" w:cs="Times New Roman"/>
              <w:color w:val="009CDE"/>
              <w:sz w:val="20"/>
              <w:szCs w:val="24"/>
            </w:rPr>
          </w:pPr>
          <w:r>
            <w:rPr>
              <w:rFonts w:ascii="Times New Roman" w:hAnsi="Times New Roman" w:cs="Times New Roman"/>
              <w:color w:val="009CDE"/>
              <w:sz w:val="20"/>
              <w:szCs w:val="24"/>
            </w:rPr>
            <w:t>Mäealuse 2/2</w:t>
          </w:r>
          <w:r w:rsidR="00B63F9D" w:rsidRPr="00107296">
            <w:rPr>
              <w:rFonts w:ascii="Times New Roman" w:hAnsi="Times New Roman" w:cs="Times New Roman"/>
              <w:color w:val="009CDE"/>
              <w:sz w:val="20"/>
              <w:szCs w:val="24"/>
            </w:rPr>
            <w:t>, Tallinn 12618</w:t>
          </w:r>
        </w:p>
      </w:tc>
      <w:tc>
        <w:tcPr>
          <w:tcW w:w="2268" w:type="dxa"/>
        </w:tcPr>
        <w:p w14:paraId="2428BEE1"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Telefon 612 6200</w:t>
          </w:r>
        </w:p>
        <w:p w14:paraId="4A2F72DD"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E-post smit@smit.ee</w:t>
          </w:r>
        </w:p>
      </w:tc>
      <w:tc>
        <w:tcPr>
          <w:tcW w:w="2268" w:type="dxa"/>
        </w:tcPr>
        <w:p w14:paraId="195670D0"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Reg. kood 70008440</w:t>
          </w:r>
        </w:p>
        <w:p w14:paraId="24329DF3"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www.smit.ee</w:t>
          </w:r>
        </w:p>
      </w:tc>
    </w:tr>
  </w:tbl>
  <w:p w14:paraId="38538DF8" w14:textId="77777777" w:rsidR="0011260E" w:rsidRPr="0011260E" w:rsidRDefault="0011260E">
    <w:pPr>
      <w:pStyle w:val="Footer"/>
      <w:rPr>
        <w:sz w:val="20"/>
      </w:rPr>
    </w:pPr>
    <w:r>
      <w:rPr>
        <w:sz w:val="2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C03F7" w14:textId="77777777" w:rsidR="007E4EEA" w:rsidRDefault="007E4EEA">
      <w:r>
        <w:separator/>
      </w:r>
    </w:p>
  </w:footnote>
  <w:footnote w:type="continuationSeparator" w:id="0">
    <w:p w14:paraId="23BBAFDC" w14:textId="77777777" w:rsidR="007E4EEA" w:rsidRDefault="007E4E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61E1"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465FE91A" w14:textId="77777777" w:rsidR="005A223E" w:rsidRDefault="005A22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503E"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5A223E">
      <w:rPr>
        <w:rStyle w:val="PageNumber"/>
        <w:noProof/>
      </w:rPr>
      <w:t>2</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E4339">
      <w:rPr>
        <w:rStyle w:val="PageNumber"/>
        <w:noProof/>
      </w:rPr>
      <w:t>1</w:t>
    </w:r>
    <w:r>
      <w:rPr>
        <w:rStyle w:val="PageNumber"/>
      </w:rPr>
      <w:fldChar w:fldCharType="end"/>
    </w:r>
    <w:r w:rsidR="005A223E">
      <w:rPr>
        <w:rStyle w:val="PageNumber"/>
      </w:rPr>
      <w:t>)</w:t>
    </w:r>
  </w:p>
  <w:p w14:paraId="41393629" w14:textId="77777777" w:rsidR="005A223E" w:rsidRDefault="005A223E">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78CF0" w14:textId="77777777" w:rsidR="00AE1F88" w:rsidRDefault="00AE1F8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864C" w14:textId="3FA9B74D"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DC4FB6">
      <w:rPr>
        <w:rStyle w:val="PageNumber"/>
        <w:noProof/>
      </w:rPr>
      <w:t>4</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DC4FB6">
      <w:rPr>
        <w:rStyle w:val="PageNumber"/>
        <w:noProof/>
      </w:rPr>
      <w:t>4</w:t>
    </w:r>
    <w:r>
      <w:rPr>
        <w:rStyle w:val="PageNumber"/>
      </w:rPr>
      <w:fldChar w:fldCharType="end"/>
    </w:r>
    <w:r w:rsidR="005A223E">
      <w:rPr>
        <w:rStyle w:val="PageNumber"/>
      </w:rPr>
      <w:t>)</w:t>
    </w:r>
  </w:p>
  <w:p w14:paraId="0B7FBBCC" w14:textId="77777777" w:rsidR="005A223E" w:rsidRDefault="005A223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36D"/>
    <w:multiLevelType w:val="multilevel"/>
    <w:tmpl w:val="05AAAAD2"/>
    <w:lvl w:ilvl="0">
      <w:start w:val="1"/>
      <w:numFmt w:val="decimal"/>
      <w:lvlText w:val="%1."/>
      <w:lvlJc w:val="left"/>
      <w:pPr>
        <w:ind w:left="720" w:hanging="360"/>
      </w:pPr>
      <w:rPr>
        <w:rFonts w:hint="default"/>
        <w:b/>
        <w:bCs/>
      </w:rPr>
    </w:lvl>
    <w:lvl w:ilvl="1">
      <w:start w:val="1"/>
      <w:numFmt w:val="decimal"/>
      <w:isLgl/>
      <w:lvlText w:val="%1.%2."/>
      <w:lvlJc w:val="left"/>
      <w:pPr>
        <w:ind w:left="404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A966A6"/>
    <w:multiLevelType w:val="multilevel"/>
    <w:tmpl w:val="8880192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788"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2C42B04"/>
    <w:multiLevelType w:val="multilevel"/>
    <w:tmpl w:val="0A1AD046"/>
    <w:lvl w:ilvl="0">
      <w:start w:val="1"/>
      <w:numFmt w:val="decimal"/>
      <w:pStyle w:val="Laad1"/>
      <w:lvlText w:val="%1."/>
      <w:lvlJc w:val="left"/>
      <w:pPr>
        <w:ind w:left="360" w:hanging="360"/>
      </w:pPr>
      <w:rPr>
        <w:b/>
        <w:bCs/>
      </w:rPr>
    </w:lvl>
    <w:lvl w:ilvl="1">
      <w:start w:val="1"/>
      <w:numFmt w:val="decimal"/>
      <w:pStyle w:val="Laad2"/>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6"/>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10241"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F8"/>
    <w:rsid w:val="000044BA"/>
    <w:rsid w:val="00025B23"/>
    <w:rsid w:val="00030432"/>
    <w:rsid w:val="00045774"/>
    <w:rsid w:val="00060108"/>
    <w:rsid w:val="000615CE"/>
    <w:rsid w:val="00063DAE"/>
    <w:rsid w:val="00064E8C"/>
    <w:rsid w:val="000653E6"/>
    <w:rsid w:val="00066762"/>
    <w:rsid w:val="000676C0"/>
    <w:rsid w:val="00073180"/>
    <w:rsid w:val="00080A46"/>
    <w:rsid w:val="00091900"/>
    <w:rsid w:val="000B48DB"/>
    <w:rsid w:val="000B5E01"/>
    <w:rsid w:val="000B5E2D"/>
    <w:rsid w:val="000D008B"/>
    <w:rsid w:val="000D2A12"/>
    <w:rsid w:val="000D5FCD"/>
    <w:rsid w:val="0011260E"/>
    <w:rsid w:val="00123487"/>
    <w:rsid w:val="00127FE3"/>
    <w:rsid w:val="00152E9D"/>
    <w:rsid w:val="00153B9E"/>
    <w:rsid w:val="00175B9F"/>
    <w:rsid w:val="00176362"/>
    <w:rsid w:val="00176881"/>
    <w:rsid w:val="001A1A1D"/>
    <w:rsid w:val="001B3A06"/>
    <w:rsid w:val="001C0536"/>
    <w:rsid w:val="001C3006"/>
    <w:rsid w:val="001D0499"/>
    <w:rsid w:val="001D6C8A"/>
    <w:rsid w:val="001E436F"/>
    <w:rsid w:val="001F230F"/>
    <w:rsid w:val="002336FE"/>
    <w:rsid w:val="0027738A"/>
    <w:rsid w:val="002819ED"/>
    <w:rsid w:val="002955D4"/>
    <w:rsid w:val="002B64E8"/>
    <w:rsid w:val="002C06A4"/>
    <w:rsid w:val="002E7BEB"/>
    <w:rsid w:val="00305DE1"/>
    <w:rsid w:val="00307A59"/>
    <w:rsid w:val="00310A2B"/>
    <w:rsid w:val="00313146"/>
    <w:rsid w:val="0032377C"/>
    <w:rsid w:val="00323C2B"/>
    <w:rsid w:val="00324077"/>
    <w:rsid w:val="003522CD"/>
    <w:rsid w:val="00353BD2"/>
    <w:rsid w:val="00364627"/>
    <w:rsid w:val="003779EF"/>
    <w:rsid w:val="0038251B"/>
    <w:rsid w:val="0039759B"/>
    <w:rsid w:val="003A6DF8"/>
    <w:rsid w:val="003B4276"/>
    <w:rsid w:val="003D553E"/>
    <w:rsid w:val="003D6C48"/>
    <w:rsid w:val="003E4624"/>
    <w:rsid w:val="003E54F4"/>
    <w:rsid w:val="0040407C"/>
    <w:rsid w:val="00415A3B"/>
    <w:rsid w:val="00424D5E"/>
    <w:rsid w:val="004375C0"/>
    <w:rsid w:val="00443716"/>
    <w:rsid w:val="00487B95"/>
    <w:rsid w:val="00490037"/>
    <w:rsid w:val="004C053E"/>
    <w:rsid w:val="004C34CB"/>
    <w:rsid w:val="004C42A5"/>
    <w:rsid w:val="004D15DF"/>
    <w:rsid w:val="004D1EAE"/>
    <w:rsid w:val="004D57FC"/>
    <w:rsid w:val="004E1EAB"/>
    <w:rsid w:val="004E3E49"/>
    <w:rsid w:val="004F0CE9"/>
    <w:rsid w:val="004F76CC"/>
    <w:rsid w:val="004F7D1B"/>
    <w:rsid w:val="00507802"/>
    <w:rsid w:val="00570B8B"/>
    <w:rsid w:val="005776F1"/>
    <w:rsid w:val="005A223E"/>
    <w:rsid w:val="005A7925"/>
    <w:rsid w:val="005B52F9"/>
    <w:rsid w:val="005C7525"/>
    <w:rsid w:val="005F245C"/>
    <w:rsid w:val="005F4A9B"/>
    <w:rsid w:val="0060454D"/>
    <w:rsid w:val="0061789C"/>
    <w:rsid w:val="0063215E"/>
    <w:rsid w:val="006400A3"/>
    <w:rsid w:val="00656F48"/>
    <w:rsid w:val="00660940"/>
    <w:rsid w:val="006726D3"/>
    <w:rsid w:val="00674570"/>
    <w:rsid w:val="00677DBA"/>
    <w:rsid w:val="00680610"/>
    <w:rsid w:val="006848B6"/>
    <w:rsid w:val="00691A61"/>
    <w:rsid w:val="006B14E5"/>
    <w:rsid w:val="006B521E"/>
    <w:rsid w:val="006C4130"/>
    <w:rsid w:val="006C6BA7"/>
    <w:rsid w:val="006D1E3A"/>
    <w:rsid w:val="006E69E0"/>
    <w:rsid w:val="006F1A06"/>
    <w:rsid w:val="00722FAF"/>
    <w:rsid w:val="0073735D"/>
    <w:rsid w:val="007402D2"/>
    <w:rsid w:val="00743E43"/>
    <w:rsid w:val="00777A32"/>
    <w:rsid w:val="00792ECB"/>
    <w:rsid w:val="007A6C6F"/>
    <w:rsid w:val="007B7ACA"/>
    <w:rsid w:val="007D3445"/>
    <w:rsid w:val="007E4EEA"/>
    <w:rsid w:val="007E64A2"/>
    <w:rsid w:val="007E7FE6"/>
    <w:rsid w:val="007F68D7"/>
    <w:rsid w:val="00801BB5"/>
    <w:rsid w:val="00830CA2"/>
    <w:rsid w:val="00843B2E"/>
    <w:rsid w:val="00854DA9"/>
    <w:rsid w:val="00857748"/>
    <w:rsid w:val="00865017"/>
    <w:rsid w:val="008669EA"/>
    <w:rsid w:val="0087558C"/>
    <w:rsid w:val="008811F1"/>
    <w:rsid w:val="00895350"/>
    <w:rsid w:val="00896B07"/>
    <w:rsid w:val="008A02BC"/>
    <w:rsid w:val="008A3246"/>
    <w:rsid w:val="008A3B3F"/>
    <w:rsid w:val="008A3D1B"/>
    <w:rsid w:val="008A4C3C"/>
    <w:rsid w:val="008D720F"/>
    <w:rsid w:val="008E4339"/>
    <w:rsid w:val="00910004"/>
    <w:rsid w:val="00910DD1"/>
    <w:rsid w:val="00912D8A"/>
    <w:rsid w:val="009225A0"/>
    <w:rsid w:val="009322FD"/>
    <w:rsid w:val="0093578C"/>
    <w:rsid w:val="009459D9"/>
    <w:rsid w:val="00957CDD"/>
    <w:rsid w:val="00967FA8"/>
    <w:rsid w:val="00993C51"/>
    <w:rsid w:val="009A2CB8"/>
    <w:rsid w:val="009A2EEE"/>
    <w:rsid w:val="009A4E2A"/>
    <w:rsid w:val="009A7F3E"/>
    <w:rsid w:val="009B1845"/>
    <w:rsid w:val="009C2D6A"/>
    <w:rsid w:val="009F20D3"/>
    <w:rsid w:val="009F3D79"/>
    <w:rsid w:val="00A23DA4"/>
    <w:rsid w:val="00A81588"/>
    <w:rsid w:val="00A83A2D"/>
    <w:rsid w:val="00A86AC7"/>
    <w:rsid w:val="00A91B31"/>
    <w:rsid w:val="00AB1415"/>
    <w:rsid w:val="00AB6652"/>
    <w:rsid w:val="00AD00F5"/>
    <w:rsid w:val="00AD191E"/>
    <w:rsid w:val="00AD535F"/>
    <w:rsid w:val="00AE1D5F"/>
    <w:rsid w:val="00AE1F88"/>
    <w:rsid w:val="00B04373"/>
    <w:rsid w:val="00B115BD"/>
    <w:rsid w:val="00B24CA2"/>
    <w:rsid w:val="00B52B4A"/>
    <w:rsid w:val="00B618E6"/>
    <w:rsid w:val="00B6218E"/>
    <w:rsid w:val="00B63F9D"/>
    <w:rsid w:val="00B75B37"/>
    <w:rsid w:val="00B76DFE"/>
    <w:rsid w:val="00BA580E"/>
    <w:rsid w:val="00BC7FE6"/>
    <w:rsid w:val="00BD09A9"/>
    <w:rsid w:val="00BD1538"/>
    <w:rsid w:val="00C04B75"/>
    <w:rsid w:val="00C04DF7"/>
    <w:rsid w:val="00C132AE"/>
    <w:rsid w:val="00C23514"/>
    <w:rsid w:val="00C3156F"/>
    <w:rsid w:val="00C4390F"/>
    <w:rsid w:val="00C43F69"/>
    <w:rsid w:val="00C81A7F"/>
    <w:rsid w:val="00C86DB8"/>
    <w:rsid w:val="00CB044C"/>
    <w:rsid w:val="00CB2DFB"/>
    <w:rsid w:val="00CC48EC"/>
    <w:rsid w:val="00CC4F53"/>
    <w:rsid w:val="00CD49CB"/>
    <w:rsid w:val="00D02782"/>
    <w:rsid w:val="00D04D02"/>
    <w:rsid w:val="00D0735B"/>
    <w:rsid w:val="00D161FE"/>
    <w:rsid w:val="00D26B00"/>
    <w:rsid w:val="00D45C60"/>
    <w:rsid w:val="00D56DE7"/>
    <w:rsid w:val="00D57137"/>
    <w:rsid w:val="00D7453F"/>
    <w:rsid w:val="00D840B4"/>
    <w:rsid w:val="00DB0D8E"/>
    <w:rsid w:val="00DC4FB6"/>
    <w:rsid w:val="00DC5219"/>
    <w:rsid w:val="00DC739D"/>
    <w:rsid w:val="00DE25DF"/>
    <w:rsid w:val="00DE283C"/>
    <w:rsid w:val="00E13C5D"/>
    <w:rsid w:val="00E27EA6"/>
    <w:rsid w:val="00E469CD"/>
    <w:rsid w:val="00E50DF9"/>
    <w:rsid w:val="00E56BB2"/>
    <w:rsid w:val="00E63F9E"/>
    <w:rsid w:val="00EA6948"/>
    <w:rsid w:val="00EC780F"/>
    <w:rsid w:val="00ED3814"/>
    <w:rsid w:val="00EF01FF"/>
    <w:rsid w:val="00EF7493"/>
    <w:rsid w:val="00F43C64"/>
    <w:rsid w:val="00F5588A"/>
    <w:rsid w:val="00F56AEE"/>
    <w:rsid w:val="00F65093"/>
    <w:rsid w:val="00F91A65"/>
    <w:rsid w:val="00F953A8"/>
    <w:rsid w:val="00FA567E"/>
    <w:rsid w:val="00FB429E"/>
    <w:rsid w:val="00FB4F12"/>
    <w:rsid w:val="00FB513B"/>
    <w:rsid w:val="00FF39E2"/>
    <w:rsid w:val="00FF73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0"/>
    </o:shapedefaults>
    <o:shapelayout v:ext="edit">
      <o:idmap v:ext="edit" data="1"/>
    </o:shapelayout>
  </w:shapeDefaults>
  <w:decimalSymbol w:val=","/>
  <w:listSeparator w:val=";"/>
  <w14:docId w14:val="79BFE82F"/>
  <w15:docId w15:val="{97BE5902-B598-492B-90E3-FADAB27B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522CD"/>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2CD"/>
    <w:pPr>
      <w:tabs>
        <w:tab w:val="center" w:pos="4153"/>
        <w:tab w:val="right" w:pos="8306"/>
      </w:tabs>
    </w:pPr>
  </w:style>
  <w:style w:type="paragraph" w:styleId="Footer">
    <w:name w:val="footer"/>
    <w:basedOn w:val="Normal"/>
    <w:link w:val="FooterChar"/>
    <w:uiPriority w:val="99"/>
    <w:rsid w:val="003522CD"/>
    <w:pPr>
      <w:tabs>
        <w:tab w:val="center" w:pos="4153"/>
        <w:tab w:val="right" w:pos="8306"/>
      </w:tabs>
    </w:pPr>
  </w:style>
  <w:style w:type="paragraph" w:styleId="BodyText">
    <w:name w:val="Body Text"/>
    <w:basedOn w:val="Normal"/>
    <w:link w:val="BodyTextChar"/>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4"/>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FooterChar">
    <w:name w:val="Footer Char"/>
    <w:basedOn w:val="DefaultParagraphFont"/>
    <w:link w:val="Footer"/>
    <w:uiPriority w:val="99"/>
    <w:rsid w:val="00B63F9D"/>
    <w:rPr>
      <w:sz w:val="24"/>
      <w:lang w:eastAsia="en-US"/>
    </w:rPr>
  </w:style>
  <w:style w:type="table" w:styleId="TableGrid">
    <w:name w:val="Table Grid"/>
    <w:basedOn w:val="TableNormal"/>
    <w:uiPriority w:val="39"/>
    <w:rsid w:val="00B63F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D15DF"/>
    <w:rPr>
      <w:spacing w:val="-5"/>
      <w:sz w:val="24"/>
      <w:lang w:eastAsia="en-US"/>
    </w:rPr>
  </w:style>
  <w:style w:type="paragraph" w:styleId="ListParagraph">
    <w:name w:val="List Paragraph"/>
    <w:aliases w:val="Mummuga loetelu,Table of contents numbered,Loendi l›ik"/>
    <w:basedOn w:val="Normal"/>
    <w:link w:val="ListParagraphChar"/>
    <w:uiPriority w:val="34"/>
    <w:qFormat/>
    <w:rsid w:val="004D15DF"/>
    <w:pPr>
      <w:ind w:left="708"/>
      <w:jc w:val="left"/>
    </w:pPr>
    <w:rPr>
      <w:rFonts w:ascii="Tahoma" w:hAnsi="Tahoma"/>
      <w:sz w:val="20"/>
      <w:szCs w:val="24"/>
    </w:rPr>
  </w:style>
  <w:style w:type="character" w:customStyle="1" w:styleId="ListParagraphChar">
    <w:name w:val="List Paragraph Char"/>
    <w:aliases w:val="Mummuga loetelu Char,Table of contents numbered Char,Loendi l›ik Char"/>
    <w:link w:val="ListParagraph"/>
    <w:uiPriority w:val="34"/>
    <w:locked/>
    <w:rsid w:val="004D15DF"/>
    <w:rPr>
      <w:rFonts w:ascii="Tahoma" w:hAnsi="Tahoma"/>
      <w:szCs w:val="24"/>
      <w:lang w:eastAsia="en-US"/>
    </w:rPr>
  </w:style>
  <w:style w:type="character" w:customStyle="1" w:styleId="meta-list-item-bold">
    <w:name w:val="meta-list-item-bold"/>
    <w:basedOn w:val="DefaultParagraphFont"/>
    <w:rsid w:val="004D15DF"/>
  </w:style>
  <w:style w:type="paragraph" w:customStyle="1" w:styleId="Laad1">
    <w:name w:val="Laad1"/>
    <w:basedOn w:val="ListParagraph"/>
    <w:qFormat/>
    <w:rsid w:val="004D15DF"/>
    <w:pPr>
      <w:numPr>
        <w:numId w:val="7"/>
      </w:numPr>
      <w:tabs>
        <w:tab w:val="num" w:pos="360"/>
      </w:tabs>
      <w:ind w:left="0" w:firstLine="0"/>
      <w:jc w:val="both"/>
      <w:outlineLvl w:val="0"/>
    </w:pPr>
    <w:rPr>
      <w:rFonts w:ascii="Times New Roman" w:hAnsi="Times New Roman"/>
      <w:b/>
      <w:bCs/>
      <w:sz w:val="24"/>
      <w:lang w:eastAsia="et-EE"/>
    </w:rPr>
  </w:style>
  <w:style w:type="paragraph" w:customStyle="1" w:styleId="Laad2">
    <w:name w:val="Laad2"/>
    <w:basedOn w:val="ListParagraph"/>
    <w:link w:val="Laad2Mrk"/>
    <w:qFormat/>
    <w:rsid w:val="004D15DF"/>
    <w:pPr>
      <w:numPr>
        <w:ilvl w:val="1"/>
        <w:numId w:val="7"/>
      </w:numPr>
      <w:ind w:left="0" w:firstLine="0"/>
      <w:contextualSpacing/>
      <w:jc w:val="both"/>
    </w:pPr>
    <w:rPr>
      <w:rFonts w:ascii="Times New Roman" w:hAnsi="Times New Roman"/>
      <w:sz w:val="24"/>
      <w:lang w:eastAsia="et-EE"/>
    </w:rPr>
  </w:style>
  <w:style w:type="character" w:customStyle="1" w:styleId="Laad2Mrk">
    <w:name w:val="Laad2 Märk"/>
    <w:basedOn w:val="DefaultParagraphFont"/>
    <w:link w:val="Laad2"/>
    <w:rsid w:val="004D15DF"/>
    <w:rPr>
      <w:sz w:val="24"/>
      <w:szCs w:val="24"/>
    </w:rPr>
  </w:style>
  <w:style w:type="character" w:customStyle="1" w:styleId="cf01">
    <w:name w:val="cf01"/>
    <w:basedOn w:val="DefaultParagraphFont"/>
    <w:rsid w:val="004D15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iigihanked.ri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7246</Characters>
  <Application>Microsoft Office Word</Application>
  <DocSecurity>0</DocSecurity>
  <Lines>60</Lines>
  <Paragraphs>16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algatuskiri</vt:lpstr>
      <vt:lpstr>algatuskiri</vt:lpstr>
    </vt:vector>
  </TitlesOfParts>
  <Company>Siseministeerium</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Kairi Sule</dc:creator>
  <cp:lastModifiedBy>DELTA</cp:lastModifiedBy>
  <cp:revision>2</cp:revision>
  <cp:lastPrinted>2014-10-07T07:40:00Z</cp:lastPrinted>
  <dcterms:created xsi:type="dcterms:W3CDTF">2024-11-22T10:38:00Z</dcterms:created>
  <dcterms:modified xsi:type="dcterms:W3CDTF">2024-11-22T10:38:00Z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 saaja_1</vt:lpwstr>
  </property>
  <property fmtid="{D5CDD505-2E9C-101B-9397-08002B2CF9AE}" pid="20" name="delta_recipientEmail">
    <vt:lpwstr>{Adressaadi e-posti aadress}</vt:lpwstr>
  </property>
  <property fmtid="{D5CDD505-2E9C-101B-9397-08002B2CF9AE}" pid="21" name="delta_additionalRecipientEmail">
    <vt:lpwstr>{Saaja e-posti aadress}</vt:lpwstr>
  </property>
  <property fmtid="{D5CDD505-2E9C-101B-9397-08002B2CF9AE}" pid="22" name="delta_recipientEmai.1l">
    <vt:lpwstr>{Adressaadi e-posti aadress}</vt:lpwstr>
  </property>
  <property fmtid="{D5CDD505-2E9C-101B-9397-08002B2CF9AE}" pid="23" name="delta_additionalRecipientEmail.1">
    <vt:lpwstr>{Saaja e-posti aadress}</vt:lpwstr>
  </property>
  <property fmtid="{D5CDD505-2E9C-101B-9397-08002B2CF9AE}" pid="24" name="delta_recipientEmail.1">
    <vt:lpwstr>{Saaja e-posti aadress}</vt:lpwstr>
  </property>
  <property fmtid="{D5CDD505-2E9C-101B-9397-08002B2CF9AE}" pid="25" name="delta_recipientPersonName">
    <vt:lpwstr>{saaja nimi}</vt:lpwstr>
  </property>
  <property fmtid="{D5CDD505-2E9C-101B-9397-08002B2CF9AE}" pid="26" name="delta_additionalRecipientName.2">
    <vt:lpwstr>lisa saaja_2</vt:lpwstr>
  </property>
  <property fmtid="{D5CDD505-2E9C-101B-9397-08002B2CF9AE}" pid="27" name="delta_additionalRecipientName.3">
    <vt:lpwstr>lisa saaja_3</vt:lpwstr>
  </property>
  <property fmtid="{D5CDD505-2E9C-101B-9397-08002B2CF9AE}" pid="28" name="delta_recipientPersonName.1">
    <vt:lpwstr>{saaja nimi}</vt:lpwstr>
  </property>
</Properties>
</file>